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553A" w:rsidRDefault="00AF351C">
      <w:pPr>
        <w:spacing w:after="60"/>
      </w:pPr>
      <w:r>
        <w:rPr>
          <w:b/>
          <w:bCs/>
          <w:sz w:val="36"/>
          <w:szCs w:val="36"/>
        </w:rPr>
        <w:t>Curriculum vitae di Secondo Bongiovanni</w:t>
      </w:r>
    </w:p>
    <w:p w:rsidR="000F553A" w:rsidRDefault="00AF351C">
      <w:pPr>
        <w:pBdr>
          <w:bottom w:val="single" w:sz="6" w:space="6" w:color="808080"/>
        </w:pBdr>
        <w:spacing w:after="240"/>
      </w:pPr>
      <w:r>
        <w:rPr>
          <w:color w:val="404040"/>
          <w:sz w:val="24"/>
          <w:szCs w:val="24"/>
        </w:rPr>
        <w:t>Formazione, insegnamento e pubblicazioni</w:t>
      </w:r>
    </w:p>
    <w:p w:rsidR="000F553A" w:rsidRDefault="00AF351C">
      <w:pPr>
        <w:pStyle w:val="Titolo1"/>
      </w:pPr>
      <w:r>
        <w:t>Formazione universitaria</w:t>
      </w:r>
    </w:p>
    <w:p w:rsidR="000F553A" w:rsidRDefault="00AF351C">
      <w:pPr>
        <w:tabs>
          <w:tab w:val="left" w:pos="2000"/>
        </w:tabs>
        <w:spacing w:after="100"/>
        <w:ind w:left="2000" w:hanging="2000"/>
      </w:pPr>
      <w:r>
        <w:rPr>
          <w:b/>
          <w:bCs/>
        </w:rPr>
        <w:t>1987-89</w:t>
      </w:r>
      <w:r>
        <w:tab/>
        <w:t>Biennio di filosofia, Pontificia Facoltà Teologica dell’Italia Meridionale (Napoli)</w:t>
      </w:r>
    </w:p>
    <w:p w:rsidR="000F553A" w:rsidRDefault="00AF351C">
      <w:pPr>
        <w:tabs>
          <w:tab w:val="left" w:pos="2000"/>
        </w:tabs>
        <w:spacing w:after="100"/>
        <w:ind w:left="2000" w:hanging="2000"/>
      </w:pPr>
      <w:r>
        <w:rPr>
          <w:b/>
          <w:bCs/>
        </w:rPr>
        <w:t>1989-92</w:t>
      </w:r>
      <w:r>
        <w:tab/>
        <w:t>Baccellierato in teologia, Pontificia Facoltà Teologica dell’Italia Meridionale (Napoli)</w:t>
      </w:r>
    </w:p>
    <w:p w:rsidR="000F553A" w:rsidRDefault="00AF351C">
      <w:pPr>
        <w:tabs>
          <w:tab w:val="left" w:pos="2000"/>
        </w:tabs>
        <w:spacing w:after="100"/>
        <w:ind w:left="2000" w:hanging="2000"/>
      </w:pPr>
      <w:r>
        <w:rPr>
          <w:b/>
          <w:bCs/>
        </w:rPr>
        <w:t>1992-94</w:t>
      </w:r>
      <w:r>
        <w:tab/>
        <w:t xml:space="preserve">Licenza in filosofia, Centre </w:t>
      </w:r>
      <w:proofErr w:type="spellStart"/>
      <w:r>
        <w:t>Sèvres</w:t>
      </w:r>
      <w:proofErr w:type="spellEnd"/>
      <w:r>
        <w:t xml:space="preserve"> (Parigi)</w:t>
      </w:r>
    </w:p>
    <w:p w:rsidR="000F553A" w:rsidRDefault="00AF351C">
      <w:pPr>
        <w:tabs>
          <w:tab w:val="left" w:pos="2000"/>
        </w:tabs>
        <w:spacing w:after="100"/>
        <w:ind w:left="2000" w:hanging="2000"/>
      </w:pPr>
      <w:r>
        <w:rPr>
          <w:b/>
          <w:bCs/>
        </w:rPr>
        <w:t>1994-95</w:t>
      </w:r>
      <w:r>
        <w:tab/>
      </w:r>
      <w:proofErr w:type="spellStart"/>
      <w:r>
        <w:t>Diplôme</w:t>
      </w:r>
      <w:proofErr w:type="spellEnd"/>
      <w:r>
        <w:t xml:space="preserve"> d’études </w:t>
      </w:r>
      <w:proofErr w:type="spellStart"/>
      <w:r>
        <w:t>approfondies</w:t>
      </w:r>
      <w:proofErr w:type="spellEnd"/>
      <w:r>
        <w:t xml:space="preserve"> (D.E.A.) in Storia delle religioni e antropologia religiosa, </w:t>
      </w:r>
      <w:proofErr w:type="spellStart"/>
      <w:r>
        <w:t>Université</w:t>
      </w:r>
      <w:proofErr w:type="spellEnd"/>
      <w:r>
        <w:t xml:space="preserve"> Paris-</w:t>
      </w:r>
      <w:proofErr w:type="spellStart"/>
      <w:r>
        <w:t>Sorbonne</w:t>
      </w:r>
      <w:proofErr w:type="spellEnd"/>
      <w:r>
        <w:t xml:space="preserve"> (Paris IV)</w:t>
      </w:r>
    </w:p>
    <w:p w:rsidR="000F553A" w:rsidRPr="006C79EA" w:rsidRDefault="00AF351C">
      <w:pPr>
        <w:tabs>
          <w:tab w:val="left" w:pos="2000"/>
        </w:tabs>
        <w:spacing w:after="100"/>
        <w:ind w:left="2000" w:hanging="2000"/>
      </w:pPr>
      <w:r w:rsidRPr="006F328A">
        <w:rPr>
          <w:b/>
          <w:bCs/>
        </w:rPr>
        <w:t>1995-97</w:t>
      </w:r>
      <w:r w:rsidRPr="006F328A">
        <w:tab/>
        <w:t>Do</w:t>
      </w:r>
      <w:r w:rsidR="006F328A" w:rsidRPr="006F328A">
        <w:t xml:space="preserve">ppio dottorato </w:t>
      </w:r>
      <w:r w:rsidR="006F328A">
        <w:t xml:space="preserve">in </w:t>
      </w:r>
      <w:proofErr w:type="spellStart"/>
      <w:r w:rsidR="007162EF">
        <w:t>in</w:t>
      </w:r>
      <w:proofErr w:type="spellEnd"/>
      <w:r w:rsidR="007162EF">
        <w:t xml:space="preserve"> “F</w:t>
      </w:r>
      <w:r w:rsidR="007162EF" w:rsidRPr="006F328A">
        <w:t>ilosofia</w:t>
      </w:r>
      <w:r w:rsidR="007162EF">
        <w:t>” (dottorato canonico)</w:t>
      </w:r>
      <w:r w:rsidR="007162EF" w:rsidRPr="006F328A">
        <w:t xml:space="preserve">, </w:t>
      </w:r>
      <w:proofErr w:type="spellStart"/>
      <w:r w:rsidR="007162EF" w:rsidRPr="006F328A">
        <w:t>Institut</w:t>
      </w:r>
      <w:proofErr w:type="spellEnd"/>
      <w:r w:rsidR="007162EF" w:rsidRPr="006F328A">
        <w:t xml:space="preserve"> Catholique de Paris, </w:t>
      </w:r>
      <w:proofErr w:type="spellStart"/>
      <w:r w:rsidR="007162EF" w:rsidRPr="006F328A">
        <w:t>Faculté</w:t>
      </w:r>
      <w:proofErr w:type="spellEnd"/>
      <w:r w:rsidR="007162EF" w:rsidRPr="006F328A">
        <w:t xml:space="preserve"> de </w:t>
      </w:r>
      <w:proofErr w:type="spellStart"/>
      <w:r w:rsidR="007162EF" w:rsidRPr="006F328A">
        <w:t>philosophie</w:t>
      </w:r>
      <w:proofErr w:type="spellEnd"/>
      <w:r w:rsidR="007162EF">
        <w:t>, e in “S</w:t>
      </w:r>
      <w:r w:rsidR="006F328A">
        <w:t>cienza delle religioni e antropologia religiosa</w:t>
      </w:r>
      <w:r w:rsidR="007162EF">
        <w:t>”</w:t>
      </w:r>
      <w:r w:rsidR="006F328A">
        <w:t xml:space="preserve">, </w:t>
      </w:r>
      <w:proofErr w:type="spellStart"/>
      <w:r w:rsidR="006F328A">
        <w:t>Université</w:t>
      </w:r>
      <w:proofErr w:type="spellEnd"/>
      <w:r w:rsidR="006F328A">
        <w:t xml:space="preserve"> Paris-</w:t>
      </w:r>
      <w:proofErr w:type="spellStart"/>
      <w:r w:rsidR="006F328A">
        <w:t>Sorbonne</w:t>
      </w:r>
      <w:proofErr w:type="spellEnd"/>
      <w:r w:rsidR="006F328A">
        <w:t xml:space="preserve"> (Paris IV)</w:t>
      </w:r>
      <w:r w:rsidR="007162EF">
        <w:t xml:space="preserve">, conseguito con la </w:t>
      </w:r>
      <w:r w:rsidR="004331D0" w:rsidRPr="007162EF">
        <w:t xml:space="preserve">Tesi: “La </w:t>
      </w:r>
      <w:proofErr w:type="spellStart"/>
      <w:r w:rsidR="004331D0" w:rsidRPr="007162EF">
        <w:t>liberté</w:t>
      </w:r>
      <w:proofErr w:type="spellEnd"/>
      <w:r w:rsidR="004331D0" w:rsidRPr="007162EF">
        <w:t xml:space="preserve"> </w:t>
      </w:r>
      <w:proofErr w:type="spellStart"/>
      <w:r w:rsidR="004331D0" w:rsidRPr="007162EF">
        <w:rPr>
          <w:i/>
        </w:rPr>
        <w:t>du</w:t>
      </w:r>
      <w:proofErr w:type="spellEnd"/>
      <w:r w:rsidR="004331D0" w:rsidRPr="007162EF">
        <w:rPr>
          <w:i/>
        </w:rPr>
        <w:t xml:space="preserve"> </w:t>
      </w:r>
      <w:proofErr w:type="spellStart"/>
      <w:r w:rsidR="004331D0" w:rsidRPr="007162EF">
        <w:t>Fondement</w:t>
      </w:r>
      <w:proofErr w:type="spellEnd"/>
      <w:r w:rsidR="004331D0" w:rsidRPr="007162EF">
        <w:t xml:space="preserve">. </w:t>
      </w:r>
      <w:r w:rsidR="004331D0" w:rsidRPr="004331D0">
        <w:rPr>
          <w:lang w:val="fr-FR"/>
        </w:rPr>
        <w:t>Le sens du ‘fondement’ chez Martin Heidegger et ses implications</w:t>
      </w:r>
      <w:r w:rsidR="004331D0">
        <w:rPr>
          <w:lang w:val="fr-FR"/>
        </w:rPr>
        <w:t xml:space="preserve"> sur la question de Dieu</w:t>
      </w:r>
      <w:r w:rsidR="004331D0" w:rsidRPr="004331D0">
        <w:rPr>
          <w:lang w:val="fr-FR"/>
        </w:rPr>
        <w:t>”</w:t>
      </w:r>
      <w:r w:rsidR="006C79EA">
        <w:rPr>
          <w:lang w:val="fr-FR"/>
        </w:rPr>
        <w:t xml:space="preserve">. </w:t>
      </w:r>
      <w:r w:rsidR="006C79EA" w:rsidRPr="006C79EA">
        <w:t>D</w:t>
      </w:r>
      <w:r w:rsidR="004331D0" w:rsidRPr="006C79EA">
        <w:t xml:space="preserve">irettori </w:t>
      </w:r>
      <w:bookmarkStart w:id="0" w:name="_GoBack"/>
      <w:bookmarkEnd w:id="0"/>
      <w:r w:rsidR="006C79EA" w:rsidRPr="006C79EA">
        <w:t>prof. Mic</w:t>
      </w:r>
      <w:r w:rsidR="006C79EA">
        <w:t xml:space="preserve">hel </w:t>
      </w:r>
      <w:proofErr w:type="spellStart"/>
      <w:r w:rsidR="006C79EA">
        <w:t>Meslin</w:t>
      </w:r>
      <w:proofErr w:type="spellEnd"/>
      <w:r w:rsidR="006C79EA">
        <w:t xml:space="preserve"> (</w:t>
      </w:r>
      <w:proofErr w:type="spellStart"/>
      <w:r w:rsidR="006C79EA">
        <w:t>Sorbonne</w:t>
      </w:r>
      <w:proofErr w:type="spellEnd"/>
      <w:r w:rsidR="006C79EA">
        <w:t xml:space="preserve">) e prof. Jean </w:t>
      </w:r>
      <w:proofErr w:type="spellStart"/>
      <w:r w:rsidR="006C79EA">
        <w:t>Greisch</w:t>
      </w:r>
      <w:proofErr w:type="spellEnd"/>
      <w:r w:rsidR="006C79EA">
        <w:t xml:space="preserve"> (</w:t>
      </w:r>
      <w:proofErr w:type="spellStart"/>
      <w:r w:rsidR="006C79EA">
        <w:t>Institut</w:t>
      </w:r>
      <w:proofErr w:type="spellEnd"/>
      <w:r w:rsidR="006C79EA">
        <w:t xml:space="preserve"> Catholique), sostenuta il 17 marzo 1999. Pubblicata presso le </w:t>
      </w:r>
      <w:proofErr w:type="spellStart"/>
      <w:r w:rsidR="006C79EA">
        <w:t>Presses</w:t>
      </w:r>
      <w:proofErr w:type="spellEnd"/>
      <w:r w:rsidR="006C79EA">
        <w:t xml:space="preserve"> </w:t>
      </w:r>
      <w:proofErr w:type="spellStart"/>
      <w:r w:rsidR="006C79EA">
        <w:t>Universitaires</w:t>
      </w:r>
      <w:proofErr w:type="spellEnd"/>
      <w:r w:rsidR="006C79EA">
        <w:t xml:space="preserve"> </w:t>
      </w:r>
      <w:proofErr w:type="spellStart"/>
      <w:r w:rsidR="006C79EA">
        <w:t>du</w:t>
      </w:r>
      <w:proofErr w:type="spellEnd"/>
      <w:r w:rsidR="006C79EA">
        <w:t xml:space="preserve"> </w:t>
      </w:r>
      <w:proofErr w:type="spellStart"/>
      <w:r w:rsidR="006C79EA">
        <w:t>Septentrion</w:t>
      </w:r>
      <w:proofErr w:type="spellEnd"/>
      <w:r w:rsidR="006C79EA">
        <w:t xml:space="preserve"> nel 2000.</w:t>
      </w:r>
    </w:p>
    <w:p w:rsidR="000F553A" w:rsidRDefault="00AF351C">
      <w:pPr>
        <w:pStyle w:val="Titolo1"/>
      </w:pPr>
      <w:r>
        <w:t>Insegnamento e attività di ricerca</w:t>
      </w:r>
    </w:p>
    <w:p w:rsidR="000F553A" w:rsidRDefault="00AF351C">
      <w:pPr>
        <w:tabs>
          <w:tab w:val="left" w:pos="2000"/>
        </w:tabs>
        <w:spacing w:after="100"/>
        <w:ind w:left="2000" w:hanging="2000"/>
      </w:pPr>
      <w:r>
        <w:rPr>
          <w:b/>
          <w:bCs/>
        </w:rPr>
        <w:t>1996-</w:t>
      </w:r>
      <w:r w:rsidR="00726C7F" w:rsidRPr="00726C7F">
        <w:rPr>
          <w:b/>
          <w:bCs/>
        </w:rPr>
        <w:t>2013</w:t>
      </w:r>
      <w:r>
        <w:tab/>
        <w:t xml:space="preserve">Istituto Filosofico </w:t>
      </w:r>
      <w:proofErr w:type="spellStart"/>
      <w:r>
        <w:t>Aloisianum</w:t>
      </w:r>
      <w:proofErr w:type="spellEnd"/>
      <w:r>
        <w:t xml:space="preserve"> dei Gesuiti italiani (Padova): Teologia filosofica, Storia della filosofia contemporanea e seminari vari. Direttore dell’Istituto dal 2001 al 2011.</w:t>
      </w:r>
    </w:p>
    <w:p w:rsidR="000F553A" w:rsidRDefault="00AF351C">
      <w:pPr>
        <w:tabs>
          <w:tab w:val="left" w:pos="2000"/>
        </w:tabs>
        <w:spacing w:after="100"/>
        <w:ind w:left="2000" w:hanging="2000"/>
      </w:pPr>
      <w:r>
        <w:rPr>
          <w:b/>
          <w:bCs/>
        </w:rPr>
        <w:t>Dal 2016</w:t>
      </w:r>
      <w:r>
        <w:tab/>
        <w:t xml:space="preserve">Pontificia Facoltà Teologica dell’Italia Meridionale, Sezione San Luigi (Napoli): Antropologia filosofica, Storia della filosofia contemporanea e altri insegnamenti; dal </w:t>
      </w:r>
      <w:r w:rsidR="00726C7F" w:rsidRPr="00726C7F">
        <w:t>2025</w:t>
      </w:r>
      <w:r w:rsidR="00726C7F">
        <w:t xml:space="preserve"> tiene</w:t>
      </w:r>
      <w:r>
        <w:t xml:space="preserve"> cors</w:t>
      </w:r>
      <w:r w:rsidR="00726C7F">
        <w:t>i</w:t>
      </w:r>
      <w:r>
        <w:t xml:space="preserve"> al Biennio di Spiritualità.</w:t>
      </w:r>
    </w:p>
    <w:p w:rsidR="000F553A" w:rsidRDefault="00AF351C">
      <w:pPr>
        <w:tabs>
          <w:tab w:val="left" w:pos="2000"/>
        </w:tabs>
        <w:spacing w:after="100"/>
        <w:ind w:left="2000" w:hanging="2000"/>
      </w:pPr>
      <w:r>
        <w:rPr>
          <w:b/>
          <w:bCs/>
        </w:rPr>
        <w:t>Altre attività</w:t>
      </w:r>
      <w:r>
        <w:tab/>
        <w:t xml:space="preserve">Corsi al Centre </w:t>
      </w:r>
      <w:proofErr w:type="spellStart"/>
      <w:r>
        <w:t>Sèvres</w:t>
      </w:r>
      <w:proofErr w:type="spellEnd"/>
      <w:r>
        <w:t xml:space="preserve"> (Parigi); partecipazione a seminari post-dottorali alla Sorbona (dipartimento di Antropologia religiosa); seminari presso l’Istituto San Massimo (Padova); partecipazione a convegni di filosofia.</w:t>
      </w:r>
    </w:p>
    <w:p w:rsidR="000F553A" w:rsidRDefault="00AF351C">
      <w:pPr>
        <w:tabs>
          <w:tab w:val="left" w:pos="2000"/>
        </w:tabs>
        <w:spacing w:after="100"/>
        <w:ind w:left="2000" w:hanging="2000"/>
      </w:pPr>
      <w:r>
        <w:rPr>
          <w:b/>
          <w:bCs/>
        </w:rPr>
        <w:t>Compagnia di Gesù</w:t>
      </w:r>
      <w:r>
        <w:tab/>
        <w:t xml:space="preserve">Membro o coordinatore di gruppi di studio e di lavoro. Dal </w:t>
      </w:r>
      <w:r w:rsidR="00726C7F" w:rsidRPr="00726C7F">
        <w:t>2013</w:t>
      </w:r>
      <w:r w:rsidR="00726C7F">
        <w:t xml:space="preserve"> è</w:t>
      </w:r>
      <w:r>
        <w:t xml:space="preserve"> membro del GEI (</w:t>
      </w:r>
      <w:proofErr w:type="spellStart"/>
      <w:r w:rsidRPr="00726C7F">
        <w:rPr>
          <w:i/>
        </w:rPr>
        <w:t>Grupo</w:t>
      </w:r>
      <w:proofErr w:type="spellEnd"/>
      <w:r w:rsidRPr="00726C7F">
        <w:rPr>
          <w:i/>
        </w:rPr>
        <w:t xml:space="preserve"> de </w:t>
      </w:r>
      <w:proofErr w:type="spellStart"/>
      <w:r w:rsidRPr="00726C7F">
        <w:rPr>
          <w:i/>
        </w:rPr>
        <w:t>Espiritualidad</w:t>
      </w:r>
      <w:proofErr w:type="spellEnd"/>
      <w:r w:rsidRPr="00726C7F">
        <w:rPr>
          <w:i/>
        </w:rPr>
        <w:t xml:space="preserve"> </w:t>
      </w:r>
      <w:proofErr w:type="spellStart"/>
      <w:r w:rsidRPr="00726C7F">
        <w:rPr>
          <w:i/>
        </w:rPr>
        <w:t>Ignaciana</w:t>
      </w:r>
      <w:proofErr w:type="spellEnd"/>
      <w:r>
        <w:t>) che si occupa dello studio e della pubblicazione di opere di gesuiti dalle origini a oggi.</w:t>
      </w:r>
    </w:p>
    <w:p w:rsidR="000F553A" w:rsidRPr="006F328A" w:rsidRDefault="00AF351C">
      <w:pPr>
        <w:pStyle w:val="Titolo1"/>
        <w:rPr>
          <w:lang w:val="fr-FR"/>
        </w:rPr>
      </w:pPr>
      <w:proofErr w:type="spellStart"/>
      <w:r w:rsidRPr="006F328A">
        <w:rPr>
          <w:lang w:val="fr-FR"/>
        </w:rPr>
        <w:t>Pubblicazioni</w:t>
      </w:r>
      <w:proofErr w:type="spellEnd"/>
    </w:p>
    <w:p w:rsidR="000F553A" w:rsidRPr="006F328A" w:rsidRDefault="00AF351C">
      <w:pPr>
        <w:pStyle w:val="Titolo2"/>
        <w:rPr>
          <w:lang w:val="fr-FR"/>
        </w:rPr>
      </w:pPr>
      <w:proofErr w:type="spellStart"/>
      <w:r w:rsidRPr="006F328A">
        <w:rPr>
          <w:lang w:val="fr-FR"/>
        </w:rPr>
        <w:t>Monografie</w:t>
      </w:r>
      <w:proofErr w:type="spellEnd"/>
    </w:p>
    <w:p w:rsidR="000F553A" w:rsidRPr="006F328A" w:rsidRDefault="00AF351C">
      <w:pPr>
        <w:spacing w:after="100"/>
        <w:ind w:left="425" w:hanging="425"/>
        <w:rPr>
          <w:lang w:val="fr-FR"/>
        </w:rPr>
      </w:pPr>
      <w:r w:rsidRPr="006F328A">
        <w:rPr>
          <w:i/>
          <w:iCs/>
          <w:lang w:val="fr-FR"/>
        </w:rPr>
        <w:t>Identité et Donation. L’événement du « je »</w:t>
      </w:r>
      <w:r w:rsidRPr="006F328A">
        <w:rPr>
          <w:lang w:val="fr-FR"/>
        </w:rPr>
        <w:t xml:space="preserve">, </w:t>
      </w:r>
      <w:proofErr w:type="spellStart"/>
      <w:r w:rsidRPr="006F328A">
        <w:rPr>
          <w:lang w:val="fr-FR"/>
        </w:rPr>
        <w:t>L’Harmattan</w:t>
      </w:r>
      <w:proofErr w:type="spellEnd"/>
      <w:r w:rsidRPr="006F328A">
        <w:rPr>
          <w:lang w:val="fr-FR"/>
        </w:rPr>
        <w:t>, coll. « La philosophie en commun », Paris 1999.</w:t>
      </w:r>
    </w:p>
    <w:p w:rsidR="000F553A" w:rsidRPr="006F328A" w:rsidRDefault="00AF351C">
      <w:pPr>
        <w:spacing w:after="100"/>
        <w:ind w:left="425" w:hanging="425"/>
        <w:rPr>
          <w:lang w:val="fr-FR"/>
        </w:rPr>
      </w:pPr>
      <w:r w:rsidRPr="006F328A">
        <w:rPr>
          <w:i/>
          <w:iCs/>
          <w:lang w:val="fr-FR"/>
        </w:rPr>
        <w:t>La liberté du fondement. Le sens du « fondement » chez Martin Heidegger et ses implications sur la question de Dieu</w:t>
      </w:r>
      <w:r w:rsidRPr="006F328A">
        <w:rPr>
          <w:lang w:val="fr-FR"/>
        </w:rPr>
        <w:t>, Presses Universitaires du Septentrion, Villeneuve-d’Ascq 2000.</w:t>
      </w:r>
    </w:p>
    <w:p w:rsidR="000F553A" w:rsidRDefault="00AF351C">
      <w:pPr>
        <w:spacing w:after="100"/>
        <w:ind w:left="425" w:hanging="425"/>
      </w:pPr>
      <w:r>
        <w:rPr>
          <w:i/>
          <w:iCs/>
        </w:rPr>
        <w:t>Viversi nella relazione. Passare dal re temporale al Re Eterno. Una riflessione teologale e filosofica degli Esercizi Spirituali di s. Ignazio</w:t>
      </w:r>
      <w:r>
        <w:t xml:space="preserve">, </w:t>
      </w:r>
      <w:proofErr w:type="spellStart"/>
      <w:r>
        <w:t>Cleup</w:t>
      </w:r>
      <w:proofErr w:type="spellEnd"/>
      <w:r>
        <w:t>, Padova 2006.</w:t>
      </w:r>
    </w:p>
    <w:p w:rsidR="000F553A" w:rsidRDefault="00AF351C">
      <w:pPr>
        <w:spacing w:after="100"/>
        <w:ind w:left="425" w:hanging="425"/>
      </w:pPr>
      <w:r>
        <w:rPr>
          <w:i/>
          <w:iCs/>
        </w:rPr>
        <w:t>Lasciar essere: riconoscere Dio nel pensare. Studi di teologia filosofica, 1</w:t>
      </w:r>
      <w:r>
        <w:t>, Il Pozzo di Giacobbe, Trapani 2007.</w:t>
      </w:r>
    </w:p>
    <w:p w:rsidR="000F553A" w:rsidRDefault="00AF351C">
      <w:pPr>
        <w:spacing w:after="100"/>
        <w:ind w:left="425" w:hanging="425"/>
      </w:pPr>
      <w:r w:rsidRPr="006F328A">
        <w:rPr>
          <w:i/>
          <w:iCs/>
          <w:lang w:val="fr-FR"/>
        </w:rPr>
        <w:t xml:space="preserve">La philosophie italienne contemporaine à l’épreuve de Dieu. </w:t>
      </w:r>
      <w:proofErr w:type="spellStart"/>
      <w:r>
        <w:rPr>
          <w:i/>
          <w:iCs/>
        </w:rPr>
        <w:t>Pareyson</w:t>
      </w:r>
      <w:proofErr w:type="spellEnd"/>
      <w:r>
        <w:rPr>
          <w:i/>
          <w:iCs/>
        </w:rPr>
        <w:t>, Vattimo, Cacciari, Vitiello, Severino</w:t>
      </w:r>
      <w:r>
        <w:t>, L’</w:t>
      </w:r>
      <w:proofErr w:type="spellStart"/>
      <w:r>
        <w:t>Harmattan</w:t>
      </w:r>
      <w:proofErr w:type="spellEnd"/>
      <w:r>
        <w:t>, Paris 2008.</w:t>
      </w:r>
    </w:p>
    <w:p w:rsidR="000F553A" w:rsidRDefault="00AF351C">
      <w:pPr>
        <w:spacing w:after="100"/>
        <w:ind w:left="425" w:hanging="425"/>
      </w:pPr>
      <w:r>
        <w:rPr>
          <w:i/>
          <w:iCs/>
        </w:rPr>
        <w:t>Le conversioni di Dio. Cinque icone della Pasqua di Dio</w:t>
      </w:r>
      <w:r>
        <w:t>, ADP, Roma 2012.</w:t>
      </w:r>
    </w:p>
    <w:p w:rsidR="000F553A" w:rsidRDefault="00AF351C">
      <w:pPr>
        <w:spacing w:after="100"/>
        <w:ind w:left="425" w:hanging="425"/>
      </w:pPr>
      <w:r>
        <w:rPr>
          <w:i/>
          <w:iCs/>
        </w:rPr>
        <w:t>Affidati a noi stessi. Lo spirituale nell’esperienza umana</w:t>
      </w:r>
      <w:r>
        <w:t xml:space="preserve">, </w:t>
      </w:r>
      <w:proofErr w:type="spellStart"/>
      <w:r w:rsidRPr="00726C7F">
        <w:t>Proget</w:t>
      </w:r>
      <w:proofErr w:type="spellEnd"/>
      <w:r w:rsidRPr="00726C7F">
        <w:t xml:space="preserve"> Edizioni</w:t>
      </w:r>
      <w:r>
        <w:t>, Padova 2012.</w:t>
      </w:r>
    </w:p>
    <w:p w:rsidR="000F553A" w:rsidRDefault="00AF351C">
      <w:pPr>
        <w:spacing w:after="100"/>
        <w:ind w:left="425" w:hanging="425"/>
      </w:pPr>
      <w:r>
        <w:rPr>
          <w:i/>
          <w:iCs/>
        </w:rPr>
        <w:lastRenderedPageBreak/>
        <w:t xml:space="preserve">Per un Bene più grande. Il principio dinamico del </w:t>
      </w:r>
      <w:proofErr w:type="spellStart"/>
      <w:r>
        <w:rPr>
          <w:i/>
          <w:iCs/>
        </w:rPr>
        <w:t>magis</w:t>
      </w:r>
      <w:proofErr w:type="spellEnd"/>
      <w:r>
        <w:rPr>
          <w:i/>
          <w:iCs/>
        </w:rPr>
        <w:t xml:space="preserve"> in s. Ignazio di Loyola</w:t>
      </w:r>
      <w:r>
        <w:t xml:space="preserve">, </w:t>
      </w:r>
      <w:proofErr w:type="spellStart"/>
      <w:r w:rsidRPr="00726C7F">
        <w:t>Proget</w:t>
      </w:r>
      <w:proofErr w:type="spellEnd"/>
      <w:r w:rsidRPr="00726C7F">
        <w:t xml:space="preserve"> Edizioni</w:t>
      </w:r>
      <w:r>
        <w:t>, Padova 2013.</w:t>
      </w:r>
    </w:p>
    <w:p w:rsidR="000F553A" w:rsidRDefault="00AF351C">
      <w:pPr>
        <w:spacing w:after="100"/>
        <w:ind w:left="425" w:hanging="425"/>
      </w:pPr>
      <w:r>
        <w:rPr>
          <w:i/>
          <w:iCs/>
        </w:rPr>
        <w:t>Il Principio compassione. Dio nell’uomo, l’uomo in Dio</w:t>
      </w:r>
      <w:r>
        <w:t xml:space="preserve">, </w:t>
      </w:r>
      <w:proofErr w:type="spellStart"/>
      <w:r>
        <w:t>Cleup</w:t>
      </w:r>
      <w:proofErr w:type="spellEnd"/>
      <w:r>
        <w:t>, Padova 2016.</w:t>
      </w:r>
    </w:p>
    <w:p w:rsidR="000F553A" w:rsidRDefault="00AF351C">
      <w:pPr>
        <w:spacing w:after="100"/>
        <w:ind w:left="425" w:hanging="425"/>
      </w:pPr>
      <w:r>
        <w:rPr>
          <w:i/>
          <w:iCs/>
        </w:rPr>
        <w:t>Percorsi dell’esperienza. Nella dimensione umana</w:t>
      </w:r>
      <w:r>
        <w:t>, Il Pozzo di Giacobbe, Trapani 2017.</w:t>
      </w:r>
    </w:p>
    <w:p w:rsidR="000F553A" w:rsidRDefault="00AF351C">
      <w:pPr>
        <w:spacing w:after="100"/>
        <w:ind w:left="425" w:hanging="425"/>
      </w:pPr>
      <w:r>
        <w:rPr>
          <w:i/>
          <w:iCs/>
        </w:rPr>
        <w:t>A partire dal corpo. Sulla singolarità umana</w:t>
      </w:r>
      <w:r>
        <w:t>, Il Pozzo di Giacobbe, Trapani 2021.</w:t>
      </w:r>
    </w:p>
    <w:p w:rsidR="000F553A" w:rsidRDefault="00AF351C">
      <w:pPr>
        <w:pStyle w:val="Titolo2"/>
      </w:pPr>
      <w:r>
        <w:t>Volumi in collaborazione</w:t>
      </w:r>
    </w:p>
    <w:p w:rsidR="000F553A" w:rsidRPr="006F328A" w:rsidRDefault="00AF351C">
      <w:pPr>
        <w:spacing w:after="100"/>
        <w:ind w:left="425" w:hanging="425"/>
        <w:rPr>
          <w:lang w:val="fr-FR"/>
        </w:rPr>
      </w:pPr>
      <w:r>
        <w:t xml:space="preserve">S. Bongiovanni, G. </w:t>
      </w:r>
      <w:proofErr w:type="spellStart"/>
      <w:r>
        <w:t>Jarczyk</w:t>
      </w:r>
      <w:proofErr w:type="spellEnd"/>
      <w:r>
        <w:t xml:space="preserve">, P.-J. </w:t>
      </w:r>
      <w:proofErr w:type="spellStart"/>
      <w:r>
        <w:t>Labarrière</w:t>
      </w:r>
      <w:proofErr w:type="spellEnd"/>
      <w:r>
        <w:t xml:space="preserve">, B. </w:t>
      </w:r>
      <w:proofErr w:type="spellStart"/>
      <w:r>
        <w:t>Vermander</w:t>
      </w:r>
      <w:proofErr w:type="spellEnd"/>
      <w:r>
        <w:t xml:space="preserve">, </w:t>
      </w:r>
      <w:r>
        <w:rPr>
          <w:i/>
          <w:iCs/>
        </w:rPr>
        <w:t>L’</w:t>
      </w:r>
      <w:proofErr w:type="spellStart"/>
      <w:r>
        <w:rPr>
          <w:i/>
          <w:iCs/>
        </w:rPr>
        <w:t>anneau</w:t>
      </w:r>
      <w:proofErr w:type="spellEnd"/>
      <w:r>
        <w:rPr>
          <w:i/>
          <w:iCs/>
        </w:rPr>
        <w:t xml:space="preserve"> immobile. </w:t>
      </w:r>
      <w:r w:rsidRPr="006F328A">
        <w:rPr>
          <w:i/>
          <w:iCs/>
          <w:lang w:val="fr-FR"/>
        </w:rPr>
        <w:t>Regards croisés sur Maître Eckhart. Husserl – Hegel – Laozi</w:t>
      </w:r>
      <w:r w:rsidRPr="006F328A">
        <w:rPr>
          <w:lang w:val="fr-FR"/>
        </w:rPr>
        <w:t>, Éditions Facultés jésuites de Paris, 2005.</w:t>
      </w:r>
    </w:p>
    <w:p w:rsidR="000F553A" w:rsidRDefault="00AF351C">
      <w:pPr>
        <w:spacing w:after="100"/>
        <w:ind w:left="425" w:hanging="425"/>
      </w:pPr>
      <w:r>
        <w:t xml:space="preserve">S. Bongiovanni, F. Fava, </w:t>
      </w:r>
      <w:r>
        <w:rPr>
          <w:i/>
          <w:iCs/>
        </w:rPr>
        <w:t>Accedere all’originalità personale. La formazione nelle organizzazioni complesse</w:t>
      </w:r>
      <w:r>
        <w:t xml:space="preserve">, </w:t>
      </w:r>
      <w:proofErr w:type="spellStart"/>
      <w:r>
        <w:t>Pardes</w:t>
      </w:r>
      <w:proofErr w:type="spellEnd"/>
      <w:r>
        <w:t>, Bologna 2007.</w:t>
      </w:r>
    </w:p>
    <w:p w:rsidR="000F553A" w:rsidRDefault="00AF351C">
      <w:pPr>
        <w:pStyle w:val="Titolo2"/>
      </w:pPr>
      <w:r>
        <w:t>Curatele, edizioni di fonti e opere collettive</w:t>
      </w:r>
    </w:p>
    <w:p w:rsidR="000F553A" w:rsidRPr="006F328A" w:rsidRDefault="00AF351C">
      <w:pPr>
        <w:spacing w:after="100"/>
        <w:ind w:left="425" w:hanging="425"/>
        <w:rPr>
          <w:lang w:val="es-ES"/>
        </w:rPr>
      </w:pPr>
      <w:r w:rsidRPr="006F328A">
        <w:rPr>
          <w:lang w:val="es-ES"/>
        </w:rPr>
        <w:t xml:space="preserve">GEI, </w:t>
      </w:r>
      <w:r w:rsidRPr="006F328A">
        <w:rPr>
          <w:i/>
          <w:iCs/>
          <w:lang w:val="es-ES"/>
        </w:rPr>
        <w:t>Escritos esenciales de los primeros jesuitas. De Ignacio a Ribadeneira</w:t>
      </w:r>
      <w:r w:rsidRPr="006F328A">
        <w:rPr>
          <w:lang w:val="es-ES"/>
        </w:rPr>
        <w:t>, Colección Manresa, Mensajero–Sal Terrae, Madrid 2017.</w:t>
      </w:r>
    </w:p>
    <w:p w:rsidR="000F553A" w:rsidRDefault="00AF351C">
      <w:pPr>
        <w:spacing w:after="100"/>
        <w:ind w:left="425" w:hanging="425"/>
      </w:pPr>
      <w:r>
        <w:t xml:space="preserve">S. Bongiovanni, S. Tanzarella (a cura di), </w:t>
      </w:r>
      <w:r>
        <w:rPr>
          <w:i/>
          <w:iCs/>
        </w:rPr>
        <w:t xml:space="preserve">Con tutti i naufraghi del mondo. La teologia dopo </w:t>
      </w:r>
      <w:proofErr w:type="spellStart"/>
      <w:r>
        <w:rPr>
          <w:i/>
          <w:iCs/>
        </w:rPr>
        <w:t>Veritatis</w:t>
      </w:r>
      <w:proofErr w:type="spellEnd"/>
      <w:r>
        <w:rPr>
          <w:i/>
          <w:iCs/>
        </w:rPr>
        <w:t xml:space="preserve"> Gaudium nel contesto del Mediterraneo</w:t>
      </w:r>
      <w:r>
        <w:t>, Il Pozzo di Giacobbe, Trapani 2019.</w:t>
      </w:r>
    </w:p>
    <w:p w:rsidR="000F553A" w:rsidRPr="006F328A" w:rsidRDefault="00AF351C">
      <w:pPr>
        <w:spacing w:after="100"/>
        <w:ind w:left="425" w:hanging="425"/>
        <w:rPr>
          <w:lang w:val="es-ES"/>
        </w:rPr>
      </w:pPr>
      <w:r w:rsidRPr="006F328A">
        <w:rPr>
          <w:lang w:val="es-ES"/>
        </w:rPr>
        <w:t xml:space="preserve">GEI, </w:t>
      </w:r>
      <w:r w:rsidRPr="006F328A">
        <w:rPr>
          <w:i/>
          <w:iCs/>
          <w:lang w:val="es-ES"/>
        </w:rPr>
        <w:t>Escritos esenciales de jesuitas del siglo XX</w:t>
      </w:r>
      <w:r w:rsidRPr="006F328A">
        <w:rPr>
          <w:lang w:val="es-ES"/>
        </w:rPr>
        <w:t>, Colección Manresa, Mensajero–Sal Terrae, Madrid 2023.</w:t>
      </w:r>
    </w:p>
    <w:p w:rsidR="000F553A" w:rsidRDefault="00AF351C">
      <w:pPr>
        <w:pStyle w:val="Titolo2"/>
      </w:pPr>
      <w:r>
        <w:t>Contributi in volume</w:t>
      </w:r>
    </w:p>
    <w:p w:rsidR="000F553A" w:rsidRDefault="00AF351C">
      <w:pPr>
        <w:spacing w:after="100"/>
        <w:ind w:left="425" w:hanging="425"/>
      </w:pPr>
      <w:r>
        <w:t xml:space="preserve">“Conoscenza delle emozioni”, in </w:t>
      </w:r>
      <w:r>
        <w:rPr>
          <w:i/>
          <w:iCs/>
        </w:rPr>
        <w:t>Le vie dell’interiorità</w:t>
      </w:r>
      <w:r>
        <w:t>, Città Nuova, 2011, pp. 157-192.</w:t>
      </w:r>
    </w:p>
    <w:p w:rsidR="000F553A" w:rsidRDefault="00AF351C">
      <w:pPr>
        <w:spacing w:after="100"/>
        <w:ind w:left="425" w:hanging="425"/>
      </w:pPr>
      <w:r>
        <w:t xml:space="preserve">“Formazione e passione per il Bene”, in </w:t>
      </w:r>
      <w:r>
        <w:rPr>
          <w:i/>
          <w:iCs/>
        </w:rPr>
        <w:t>Pensare senza smettere di credere. Filosofia e ricerca teologica oggi</w:t>
      </w:r>
      <w:r>
        <w:t>, a cura di M. A. Spinosa e A. P. Viola, Il Pozzo di Giacobbe, Trapani 2016, pp. 59-72.</w:t>
      </w:r>
    </w:p>
    <w:p w:rsidR="009B0B63" w:rsidRPr="009B0B63" w:rsidRDefault="009B0B63" w:rsidP="009B0B63">
      <w:pPr>
        <w:spacing w:after="100"/>
        <w:ind w:left="425" w:hanging="425"/>
      </w:pPr>
      <w:r>
        <w:t xml:space="preserve">“Dalla mia volontà alla tua grazia: l’esercizio del Regno”, in Ignazio di Loyola, </w:t>
      </w:r>
      <w:r>
        <w:rPr>
          <w:i/>
          <w:iCs/>
        </w:rPr>
        <w:t>Esercizi spirituali</w:t>
      </w:r>
      <w:r>
        <w:t>, a cura di G. Piccolo, Garzanti, Milano 2016, pp. 88-94.</w:t>
      </w:r>
    </w:p>
    <w:p w:rsidR="000F553A" w:rsidRDefault="00AF351C">
      <w:pPr>
        <w:spacing w:after="100"/>
        <w:ind w:left="425" w:hanging="425"/>
      </w:pPr>
      <w:r>
        <w:t xml:space="preserve">“L’utopia dal volto umano. Il momento utopico dell’esperienza tra </w:t>
      </w:r>
      <w:proofErr w:type="spellStart"/>
      <w:r>
        <w:rPr>
          <w:i/>
          <w:iCs/>
        </w:rPr>
        <w:t>phrónesis</w:t>
      </w:r>
      <w:proofErr w:type="spellEnd"/>
      <w:r>
        <w:t xml:space="preserve"> e </w:t>
      </w:r>
      <w:proofErr w:type="spellStart"/>
      <w:r>
        <w:rPr>
          <w:i/>
          <w:iCs/>
        </w:rPr>
        <w:t>sophía</w:t>
      </w:r>
      <w:proofErr w:type="spellEnd"/>
      <w:r>
        <w:t xml:space="preserve">”, in </w:t>
      </w:r>
      <w:r>
        <w:rPr>
          <w:i/>
          <w:iCs/>
        </w:rPr>
        <w:t>Il seme dell’utopia</w:t>
      </w:r>
      <w:r>
        <w:t xml:space="preserve">, a cura di V. </w:t>
      </w:r>
      <w:proofErr w:type="spellStart"/>
      <w:r>
        <w:t>Petito</w:t>
      </w:r>
      <w:proofErr w:type="spellEnd"/>
      <w:r>
        <w:t xml:space="preserve"> e A. </w:t>
      </w:r>
      <w:proofErr w:type="spellStart"/>
      <w:r>
        <w:t>Trupiano</w:t>
      </w:r>
      <w:proofErr w:type="spellEnd"/>
      <w:r>
        <w:t xml:space="preserve">, </w:t>
      </w:r>
      <w:proofErr w:type="spellStart"/>
      <w:r>
        <w:t>Orthotes</w:t>
      </w:r>
      <w:proofErr w:type="spellEnd"/>
      <w:r>
        <w:t>, Napoli-Salerno 2022, pp. 59-82.</w:t>
      </w:r>
    </w:p>
    <w:p w:rsidR="000F553A" w:rsidRDefault="00AF351C">
      <w:pPr>
        <w:spacing w:after="100"/>
        <w:ind w:left="425" w:hanging="425"/>
      </w:pPr>
      <w:r>
        <w:t xml:space="preserve">“Il sacro brivido dell’arte. L’arte tra </w:t>
      </w:r>
      <w:proofErr w:type="spellStart"/>
      <w:r>
        <w:rPr>
          <w:i/>
          <w:iCs/>
        </w:rPr>
        <w:t>thauma</w:t>
      </w:r>
      <w:proofErr w:type="spellEnd"/>
      <w:r>
        <w:t xml:space="preserve"> e sacro”, in </w:t>
      </w:r>
      <w:r>
        <w:rPr>
          <w:i/>
          <w:iCs/>
        </w:rPr>
        <w:t xml:space="preserve">Quale arte sacra </w:t>
      </w:r>
      <w:proofErr w:type="gramStart"/>
      <w:r>
        <w:rPr>
          <w:i/>
          <w:iCs/>
        </w:rPr>
        <w:t>oggi?</w:t>
      </w:r>
      <w:r>
        <w:t>,</w:t>
      </w:r>
      <w:proofErr w:type="gramEnd"/>
      <w:r>
        <w:t xml:space="preserve"> a cura di G. Agnisola e A. Dall’Asta, Ancora, Milano 2023, pp. 28-41.</w:t>
      </w:r>
    </w:p>
    <w:p w:rsidR="000F553A" w:rsidRDefault="00AF351C">
      <w:pPr>
        <w:spacing w:after="100"/>
        <w:ind w:left="425" w:hanging="425"/>
      </w:pPr>
      <w:r>
        <w:t xml:space="preserve">“La </w:t>
      </w:r>
      <w:proofErr w:type="spellStart"/>
      <w:r>
        <w:rPr>
          <w:i/>
          <w:iCs/>
        </w:rPr>
        <w:t>phronesis</w:t>
      </w:r>
      <w:proofErr w:type="spellEnd"/>
      <w:r>
        <w:t xml:space="preserve"> o la saggezza dei limiti. Per una filosofia sapienziale”, in </w:t>
      </w:r>
      <w:proofErr w:type="spellStart"/>
      <w:r>
        <w:rPr>
          <w:i/>
          <w:iCs/>
        </w:rPr>
        <w:t>Rationis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pulchritudo</w:t>
      </w:r>
      <w:proofErr w:type="spellEnd"/>
      <w:r>
        <w:rPr>
          <w:i/>
          <w:iCs/>
        </w:rPr>
        <w:t xml:space="preserve">. Studi sul pensiero patristico e medievale in onore di A. </w:t>
      </w:r>
      <w:proofErr w:type="spellStart"/>
      <w:r>
        <w:rPr>
          <w:i/>
          <w:iCs/>
        </w:rPr>
        <w:t>Orazzo</w:t>
      </w:r>
      <w:proofErr w:type="spellEnd"/>
      <w:r>
        <w:t xml:space="preserve">, a cura di A. M. Vitali, </w:t>
      </w:r>
      <w:proofErr w:type="spellStart"/>
      <w:r>
        <w:t>Orthotes</w:t>
      </w:r>
      <w:proofErr w:type="spellEnd"/>
      <w:r>
        <w:t>, Napoli 2025, pp. 289-323.</w:t>
      </w:r>
    </w:p>
    <w:p w:rsidR="000F553A" w:rsidRPr="006F328A" w:rsidRDefault="00AF351C">
      <w:pPr>
        <w:pStyle w:val="Titolo2"/>
        <w:rPr>
          <w:lang w:val="fr-FR"/>
        </w:rPr>
      </w:pPr>
      <w:proofErr w:type="spellStart"/>
      <w:r w:rsidRPr="006F328A">
        <w:rPr>
          <w:lang w:val="fr-FR"/>
        </w:rPr>
        <w:t>Articoli</w:t>
      </w:r>
      <w:proofErr w:type="spellEnd"/>
      <w:r w:rsidRPr="006F328A">
        <w:rPr>
          <w:lang w:val="fr-FR"/>
        </w:rPr>
        <w:t xml:space="preserve"> in </w:t>
      </w:r>
      <w:proofErr w:type="spellStart"/>
      <w:r w:rsidRPr="006F328A">
        <w:rPr>
          <w:lang w:val="fr-FR"/>
        </w:rPr>
        <w:t>rivista</w:t>
      </w:r>
      <w:proofErr w:type="spellEnd"/>
    </w:p>
    <w:p w:rsidR="000F553A" w:rsidRPr="006F328A" w:rsidRDefault="00AF351C">
      <w:pPr>
        <w:spacing w:after="100"/>
        <w:ind w:left="425" w:hanging="425"/>
        <w:rPr>
          <w:lang w:val="fr-FR"/>
        </w:rPr>
      </w:pPr>
      <w:r w:rsidRPr="006F328A">
        <w:rPr>
          <w:lang w:val="fr-FR"/>
        </w:rPr>
        <w:t xml:space="preserve">“L’actualité de Maître Eckhart. Un livre de G. </w:t>
      </w:r>
      <w:proofErr w:type="spellStart"/>
      <w:r w:rsidRPr="006F328A">
        <w:rPr>
          <w:lang w:val="fr-FR"/>
        </w:rPr>
        <w:t>Jarczyk</w:t>
      </w:r>
      <w:proofErr w:type="spellEnd"/>
      <w:r w:rsidRPr="006F328A">
        <w:rPr>
          <w:lang w:val="fr-FR"/>
        </w:rPr>
        <w:t xml:space="preserve"> et P.-J. </w:t>
      </w:r>
      <w:proofErr w:type="spellStart"/>
      <w:r w:rsidRPr="006F328A">
        <w:rPr>
          <w:lang w:val="fr-FR"/>
        </w:rPr>
        <w:t>Labarrière</w:t>
      </w:r>
      <w:proofErr w:type="spellEnd"/>
      <w:r w:rsidRPr="006F328A">
        <w:rPr>
          <w:lang w:val="fr-FR"/>
        </w:rPr>
        <w:t xml:space="preserve">”, </w:t>
      </w:r>
      <w:r w:rsidRPr="006F328A">
        <w:rPr>
          <w:i/>
          <w:iCs/>
          <w:lang w:val="fr-FR"/>
        </w:rPr>
        <w:t>Christus</w:t>
      </w:r>
      <w:r w:rsidRPr="006F328A">
        <w:rPr>
          <w:lang w:val="fr-FR"/>
        </w:rPr>
        <w:t xml:space="preserve"> 170 (1996), pp. 238-246.</w:t>
      </w:r>
    </w:p>
    <w:p w:rsidR="000F553A" w:rsidRPr="006F328A" w:rsidRDefault="00AF351C">
      <w:pPr>
        <w:spacing w:after="100"/>
        <w:ind w:left="425" w:hanging="425"/>
        <w:rPr>
          <w:lang w:val="fr-FR"/>
        </w:rPr>
      </w:pPr>
      <w:r w:rsidRPr="006F328A">
        <w:rPr>
          <w:lang w:val="fr-FR"/>
        </w:rPr>
        <w:t xml:space="preserve">“Religion et pouvoir”, </w:t>
      </w:r>
      <w:r w:rsidRPr="006F328A">
        <w:rPr>
          <w:i/>
          <w:iCs/>
          <w:lang w:val="fr-FR"/>
        </w:rPr>
        <w:t>Cahiers d’anthropologie religieuse</w:t>
      </w:r>
      <w:r w:rsidRPr="006F328A">
        <w:rPr>
          <w:lang w:val="fr-FR"/>
        </w:rPr>
        <w:t>, Presses de l’Université Paris-Sorbonne, 1996, pp. 43-82.</w:t>
      </w:r>
    </w:p>
    <w:p w:rsidR="000F553A" w:rsidRDefault="00AF351C">
      <w:pPr>
        <w:spacing w:after="100"/>
        <w:ind w:left="425" w:hanging="425"/>
      </w:pPr>
      <w:r>
        <w:t xml:space="preserve">“Destino della tecnica e fine dell’uomo”, </w:t>
      </w:r>
      <w:r>
        <w:rPr>
          <w:i/>
          <w:iCs/>
        </w:rPr>
        <w:t>Rassegna di Teologia</w:t>
      </w:r>
      <w:r>
        <w:t xml:space="preserve"> 42 (2001), n. 3, pp. 443-459.</w:t>
      </w:r>
    </w:p>
    <w:p w:rsidR="000F553A" w:rsidRDefault="00AF351C">
      <w:pPr>
        <w:spacing w:after="100"/>
        <w:ind w:left="425" w:hanging="425"/>
      </w:pPr>
      <w:r>
        <w:t xml:space="preserve">“Corporeità e alterità”, </w:t>
      </w:r>
      <w:r>
        <w:rPr>
          <w:i/>
          <w:iCs/>
        </w:rPr>
        <w:t>Rassegna di Teologia</w:t>
      </w:r>
      <w:r>
        <w:t xml:space="preserve"> 42 (2001), n. 4, pp. 505-520.</w:t>
      </w:r>
    </w:p>
    <w:p w:rsidR="000F553A" w:rsidRDefault="00AF351C">
      <w:pPr>
        <w:spacing w:after="100"/>
        <w:ind w:left="425" w:hanging="425"/>
      </w:pPr>
      <w:r>
        <w:t xml:space="preserve">“Didattica e filosofia all’ascolto degli Esercizi Spirituali. Una riflessione sul senso dello studio e della pratica del filosofare nella formazione del gesuita”, </w:t>
      </w:r>
      <w:r>
        <w:rPr>
          <w:i/>
          <w:iCs/>
        </w:rPr>
        <w:t>Rassegna di Teologia</w:t>
      </w:r>
      <w:r>
        <w:t xml:space="preserve"> 44 (2003), pp. 49-75.</w:t>
      </w:r>
    </w:p>
    <w:p w:rsidR="000F553A" w:rsidRDefault="00AF351C">
      <w:pPr>
        <w:spacing w:after="100"/>
        <w:ind w:left="425" w:hanging="425"/>
      </w:pPr>
      <w:r>
        <w:t xml:space="preserve">“Esperienza del pensare e ideologia. Sulla scomoda (in)attualità di Martin Heidegger”, </w:t>
      </w:r>
      <w:proofErr w:type="spellStart"/>
      <w:r>
        <w:rPr>
          <w:i/>
          <w:iCs/>
        </w:rPr>
        <w:t>Revista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Portuguesa</w:t>
      </w:r>
      <w:proofErr w:type="spellEnd"/>
      <w:r>
        <w:rPr>
          <w:i/>
          <w:iCs/>
        </w:rPr>
        <w:t xml:space="preserve"> de Filosofia</w:t>
      </w:r>
      <w:r>
        <w:t xml:space="preserve"> 59 (2003), n. 4, pp. 999-1022.</w:t>
      </w:r>
    </w:p>
    <w:p w:rsidR="000F553A" w:rsidRDefault="00AF351C">
      <w:pPr>
        <w:spacing w:after="100"/>
        <w:ind w:left="425" w:hanging="425"/>
      </w:pPr>
      <w:r>
        <w:t xml:space="preserve">“L’inquietudine dell’estraneo”, </w:t>
      </w:r>
      <w:r>
        <w:rPr>
          <w:i/>
          <w:iCs/>
        </w:rPr>
        <w:t>Fenomenologia e Società</w:t>
      </w:r>
      <w:r>
        <w:t xml:space="preserve"> 26 (2003), n. 3, pp. 102-121.</w:t>
      </w:r>
    </w:p>
    <w:p w:rsidR="000F553A" w:rsidRDefault="00AF351C">
      <w:pPr>
        <w:spacing w:after="100"/>
        <w:ind w:left="425" w:hanging="425"/>
      </w:pPr>
      <w:r>
        <w:t xml:space="preserve">“Michel Foucault: una spiritualità del soggetto possibile”, </w:t>
      </w:r>
      <w:r>
        <w:rPr>
          <w:i/>
          <w:iCs/>
        </w:rPr>
        <w:t>Fenomenologia e Società</w:t>
      </w:r>
      <w:r>
        <w:t xml:space="preserve"> (2005), n. 2, pp. 59-93.</w:t>
      </w:r>
    </w:p>
    <w:p w:rsidR="000F553A" w:rsidRDefault="00AF351C">
      <w:pPr>
        <w:spacing w:after="100"/>
        <w:ind w:left="425" w:hanging="425"/>
      </w:pPr>
      <w:r>
        <w:lastRenderedPageBreak/>
        <w:t xml:space="preserve">“Tra Abramo e Ulisse: nella terra-di-mezzo della nostra identità”, </w:t>
      </w:r>
      <w:r>
        <w:rPr>
          <w:i/>
          <w:iCs/>
        </w:rPr>
        <w:t>Rassegna di Teologia</w:t>
      </w:r>
      <w:r>
        <w:t xml:space="preserve"> (2006), n. 4, pp. 241-260.</w:t>
      </w:r>
    </w:p>
    <w:p w:rsidR="000F553A" w:rsidRDefault="00AF351C">
      <w:pPr>
        <w:spacing w:after="100"/>
        <w:ind w:left="425" w:hanging="425"/>
      </w:pPr>
      <w:r>
        <w:t xml:space="preserve">“Luoghi e tempi dell’esperienza mistica: una recente rilettura di </w:t>
      </w:r>
      <w:proofErr w:type="spellStart"/>
      <w:r w:rsidR="00D82448" w:rsidRPr="00D82448">
        <w:t>Meister</w:t>
      </w:r>
      <w:proofErr w:type="spellEnd"/>
      <w:r>
        <w:t xml:space="preserve"> </w:t>
      </w:r>
      <w:proofErr w:type="spellStart"/>
      <w:r>
        <w:t>Eckhart</w:t>
      </w:r>
      <w:proofErr w:type="spellEnd"/>
      <w:r>
        <w:t xml:space="preserve">”, </w:t>
      </w:r>
      <w:r>
        <w:rPr>
          <w:i/>
          <w:iCs/>
        </w:rPr>
        <w:t>Fenomenologia e Società</w:t>
      </w:r>
      <w:r>
        <w:t xml:space="preserve"> (2006), n. 2, pp. 72-79.</w:t>
      </w:r>
    </w:p>
    <w:p w:rsidR="000F553A" w:rsidRDefault="00AF351C">
      <w:pPr>
        <w:spacing w:after="100"/>
        <w:ind w:left="425" w:hanging="425"/>
      </w:pPr>
      <w:r>
        <w:t xml:space="preserve">“La filosofia in dialogo con la teologia in Italia”, </w:t>
      </w:r>
      <w:r>
        <w:rPr>
          <w:i/>
          <w:iCs/>
        </w:rPr>
        <w:t>La Civiltà Cattolica</w:t>
      </w:r>
      <w:r>
        <w:t xml:space="preserve"> (2006), IV, pp. 34-44.</w:t>
      </w:r>
    </w:p>
    <w:p w:rsidR="000F553A" w:rsidRDefault="00AF351C">
      <w:pPr>
        <w:spacing w:after="100"/>
        <w:ind w:left="425" w:hanging="425"/>
      </w:pPr>
      <w:r>
        <w:t xml:space="preserve">“Per un senso simbolico del mistero”, </w:t>
      </w:r>
      <w:proofErr w:type="spellStart"/>
      <w:r>
        <w:rPr>
          <w:i/>
          <w:iCs/>
        </w:rPr>
        <w:t>Mysterion</w:t>
      </w:r>
      <w:proofErr w:type="spellEnd"/>
      <w:r>
        <w:rPr>
          <w:i/>
          <w:iCs/>
        </w:rPr>
        <w:t>. Rivista di Spiritualità e Mistica</w:t>
      </w:r>
      <w:r>
        <w:t xml:space="preserve"> 1 (2008), pp. 32-42.</w:t>
      </w:r>
    </w:p>
    <w:p w:rsidR="000F553A" w:rsidRDefault="00AF351C">
      <w:pPr>
        <w:spacing w:after="100"/>
        <w:ind w:left="425" w:hanging="425"/>
      </w:pPr>
      <w:r>
        <w:t xml:space="preserve">“Competere con il tempo (?) La dimensione della riflessione e la ricerca dell’equilibrio”, </w:t>
      </w:r>
      <w:r>
        <w:rPr>
          <w:i/>
          <w:iCs/>
        </w:rPr>
        <w:t>Rassegna di Teologia</w:t>
      </w:r>
      <w:r>
        <w:t xml:space="preserve"> 49 (2008), pp. 357-382.</w:t>
      </w:r>
    </w:p>
    <w:p w:rsidR="00545ADC" w:rsidRPr="00545ADC" w:rsidRDefault="00545ADC">
      <w:pPr>
        <w:spacing w:after="100"/>
        <w:ind w:left="425" w:hanging="425"/>
      </w:pPr>
      <w:r>
        <w:t xml:space="preserve">“La forma del trasformare. Trasformazione dell’uomo e libertà”, </w:t>
      </w:r>
      <w:proofErr w:type="spellStart"/>
      <w:r>
        <w:rPr>
          <w:i/>
        </w:rPr>
        <w:t>Mysterion</w:t>
      </w:r>
      <w:proofErr w:type="spellEnd"/>
      <w:r>
        <w:rPr>
          <w:i/>
        </w:rPr>
        <w:t xml:space="preserve">. Rivista di Spiritualità e Mistica </w:t>
      </w:r>
      <w:r>
        <w:t>4 (2008), 58-88</w:t>
      </w:r>
    </w:p>
    <w:p w:rsidR="000F553A" w:rsidRDefault="00AF351C">
      <w:pPr>
        <w:spacing w:after="100"/>
        <w:ind w:left="425" w:hanging="425"/>
      </w:pPr>
      <w:r>
        <w:t xml:space="preserve">“Umanizzare </w:t>
      </w:r>
      <w:r w:rsidRPr="0083782C">
        <w:t>la</w:t>
      </w:r>
      <w:r>
        <w:t xml:space="preserve"> ragione. Il particolare e l’universale in una razionalità condivisa”, </w:t>
      </w:r>
      <w:r>
        <w:rPr>
          <w:i/>
          <w:iCs/>
        </w:rPr>
        <w:t>Rassegna di Teologia</w:t>
      </w:r>
      <w:r>
        <w:t xml:space="preserve"> 51 (2010), pp. 379-404.</w:t>
      </w:r>
    </w:p>
    <w:p w:rsidR="000F553A" w:rsidRDefault="00AF351C">
      <w:pPr>
        <w:spacing w:after="100"/>
        <w:ind w:left="425" w:hanging="425"/>
      </w:pPr>
      <w:r>
        <w:t xml:space="preserve">“Il corpo universale. Razionalità e umanità”, </w:t>
      </w:r>
      <w:r>
        <w:rPr>
          <w:i/>
          <w:iCs/>
        </w:rPr>
        <w:t>Rassegna di Teologia</w:t>
      </w:r>
      <w:r>
        <w:t xml:space="preserve"> (2011), n. 2, pp. 181-214.</w:t>
      </w:r>
    </w:p>
    <w:p w:rsidR="000F553A" w:rsidRDefault="00AF351C">
      <w:pPr>
        <w:spacing w:after="100"/>
        <w:ind w:left="425" w:hanging="425"/>
      </w:pPr>
      <w:r>
        <w:t xml:space="preserve">“Esperienze religiose ed esperienza spirituale”, </w:t>
      </w:r>
      <w:proofErr w:type="spellStart"/>
      <w:r>
        <w:rPr>
          <w:i/>
          <w:iCs/>
        </w:rPr>
        <w:t>Mysterion</w:t>
      </w:r>
      <w:proofErr w:type="spellEnd"/>
      <w:r>
        <w:t xml:space="preserve"> 4 (2011), n. 2, pp. 56-65.</w:t>
      </w:r>
    </w:p>
    <w:p w:rsidR="000F553A" w:rsidRDefault="00AF351C">
      <w:pPr>
        <w:spacing w:after="100"/>
        <w:ind w:left="425" w:hanging="425"/>
      </w:pPr>
      <w:r>
        <w:t xml:space="preserve">“La ragione della fiducia. La ricerca dello spirituale nell’uomo”, </w:t>
      </w:r>
      <w:r>
        <w:rPr>
          <w:i/>
          <w:iCs/>
        </w:rPr>
        <w:t>Rassegna di Teologia</w:t>
      </w:r>
      <w:r>
        <w:t xml:space="preserve"> (2012), n. 4, pp. 563-582.</w:t>
      </w:r>
    </w:p>
    <w:p w:rsidR="000F553A" w:rsidRDefault="00AF351C">
      <w:pPr>
        <w:spacing w:after="100"/>
        <w:ind w:left="425" w:hanging="425"/>
      </w:pPr>
      <w:r>
        <w:t xml:space="preserve">“Abramo: un padre dell’esperienza umana”, </w:t>
      </w:r>
      <w:r>
        <w:rPr>
          <w:i/>
          <w:iCs/>
        </w:rPr>
        <w:t>Rassegna di Teologia</w:t>
      </w:r>
      <w:r>
        <w:t xml:space="preserve"> (2013), n. 1, pp. 31-46.</w:t>
      </w:r>
    </w:p>
    <w:p w:rsidR="000F553A" w:rsidRDefault="00AF351C">
      <w:pPr>
        <w:spacing w:after="100"/>
        <w:ind w:left="425" w:hanging="425"/>
      </w:pPr>
      <w:r>
        <w:t xml:space="preserve">“Formazione e passione per il Bene”, </w:t>
      </w:r>
      <w:r>
        <w:rPr>
          <w:i/>
          <w:iCs/>
        </w:rPr>
        <w:t>Rassegna di Teologia</w:t>
      </w:r>
      <w:r>
        <w:t xml:space="preserve"> 54 (2013), pp. 557-569.</w:t>
      </w:r>
    </w:p>
    <w:p w:rsidR="000F553A" w:rsidRDefault="00AF351C">
      <w:pPr>
        <w:spacing w:after="100"/>
        <w:ind w:left="425" w:hanging="425"/>
      </w:pPr>
      <w:r>
        <w:t xml:space="preserve">“Paul </w:t>
      </w:r>
      <w:proofErr w:type="spellStart"/>
      <w:r>
        <w:t>Ricoeur</w:t>
      </w:r>
      <w:proofErr w:type="spellEnd"/>
      <w:r>
        <w:t xml:space="preserve"> e ‘l’uomo capace’”, </w:t>
      </w:r>
      <w:r>
        <w:rPr>
          <w:i/>
          <w:iCs/>
        </w:rPr>
        <w:t>Aggiornamenti Sociali</w:t>
      </w:r>
      <w:r>
        <w:t xml:space="preserve"> (2014), n. 3, pp. 254-258.</w:t>
      </w:r>
    </w:p>
    <w:p w:rsidR="000F553A" w:rsidRDefault="00AF351C">
      <w:pPr>
        <w:spacing w:after="100"/>
        <w:ind w:left="425" w:hanging="425"/>
      </w:pPr>
      <w:r>
        <w:t xml:space="preserve">“Affidati a noi stessi. Un approccio filosofico all’esperienza spirituale”, </w:t>
      </w:r>
      <w:r>
        <w:rPr>
          <w:i/>
          <w:iCs/>
        </w:rPr>
        <w:t>Rassegna di Teologia</w:t>
      </w:r>
      <w:r>
        <w:t xml:space="preserve"> 55 (2014), pp. 273-291.</w:t>
      </w:r>
    </w:p>
    <w:p w:rsidR="000F553A" w:rsidRDefault="00D82448">
      <w:pPr>
        <w:spacing w:after="100"/>
        <w:ind w:left="425" w:hanging="425"/>
      </w:pPr>
      <w:r>
        <w:t xml:space="preserve"> </w:t>
      </w:r>
      <w:r w:rsidR="00AF351C">
        <w:t>“</w:t>
      </w:r>
      <w:r w:rsidR="00AF351C">
        <w:rPr>
          <w:i/>
          <w:iCs/>
        </w:rPr>
        <w:t xml:space="preserve">Circa </w:t>
      </w:r>
      <w:proofErr w:type="spellStart"/>
      <w:r w:rsidR="00AF351C">
        <w:rPr>
          <w:i/>
          <w:iCs/>
        </w:rPr>
        <w:t>analogiam</w:t>
      </w:r>
      <w:proofErr w:type="spellEnd"/>
      <w:r w:rsidR="00AF351C">
        <w:t xml:space="preserve">. L’analogia nelle analisi sulla percezione di Husserl e </w:t>
      </w:r>
      <w:proofErr w:type="spellStart"/>
      <w:r w:rsidR="00AF351C">
        <w:t>Merleau-Ponty</w:t>
      </w:r>
      <w:proofErr w:type="spellEnd"/>
      <w:r w:rsidR="00AF351C">
        <w:t xml:space="preserve">”, </w:t>
      </w:r>
      <w:r w:rsidR="00AF351C">
        <w:rPr>
          <w:i/>
          <w:iCs/>
        </w:rPr>
        <w:t>Rassegna di Teologia</w:t>
      </w:r>
      <w:r w:rsidR="00AF351C">
        <w:t xml:space="preserve"> 56 (2015), pp. 241-263.</w:t>
      </w:r>
    </w:p>
    <w:p w:rsidR="000F553A" w:rsidRDefault="00AF351C">
      <w:pPr>
        <w:spacing w:after="100"/>
        <w:ind w:left="425" w:hanging="425"/>
      </w:pPr>
      <w:r>
        <w:t xml:space="preserve">“La sfida ignaziana. Un commento alla Sentenza di Hevenesi”, </w:t>
      </w:r>
      <w:r>
        <w:rPr>
          <w:i/>
          <w:iCs/>
        </w:rPr>
        <w:t>Rassegna di Teologia</w:t>
      </w:r>
      <w:r>
        <w:t xml:space="preserve"> (2016), n. 3, pp. 451-470.</w:t>
      </w:r>
    </w:p>
    <w:p w:rsidR="000F553A" w:rsidRDefault="00AF351C">
      <w:pPr>
        <w:spacing w:after="100"/>
        <w:ind w:left="425" w:hanging="425"/>
      </w:pPr>
      <w:r>
        <w:t xml:space="preserve">“Compassione e filosofia. Tra emozioni e politica”, </w:t>
      </w:r>
      <w:r>
        <w:rPr>
          <w:i/>
          <w:iCs/>
        </w:rPr>
        <w:t>Rassegna di Teologia</w:t>
      </w:r>
      <w:r>
        <w:t xml:space="preserve"> (2018), n. 2, pp. 221-243.</w:t>
      </w:r>
    </w:p>
    <w:p w:rsidR="000F553A" w:rsidRDefault="00AF351C">
      <w:pPr>
        <w:spacing w:after="100"/>
        <w:ind w:left="425" w:hanging="425"/>
      </w:pPr>
      <w:r>
        <w:t xml:space="preserve">“L’uomo-dato. L’esperienza umana alla prova del digitale: note su un discernimento a venire”, </w:t>
      </w:r>
      <w:proofErr w:type="spellStart"/>
      <w:r>
        <w:rPr>
          <w:i/>
          <w:iCs/>
        </w:rPr>
        <w:t>Mysterion</w:t>
      </w:r>
      <w:proofErr w:type="spellEnd"/>
      <w:r>
        <w:t xml:space="preserve"> 11 (2018), n. 1, pp. 110-127.</w:t>
      </w:r>
    </w:p>
    <w:p w:rsidR="000F553A" w:rsidRDefault="00AF351C">
      <w:pPr>
        <w:spacing w:after="100"/>
        <w:ind w:left="425" w:hanging="425"/>
      </w:pPr>
      <w:r>
        <w:t xml:space="preserve">“Uomo e linguaggio. La singolarità del linguaggio umano tra cooperazione e manifestazione”, </w:t>
      </w:r>
      <w:r>
        <w:rPr>
          <w:i/>
          <w:iCs/>
        </w:rPr>
        <w:t>Rassegna di Teologia</w:t>
      </w:r>
      <w:r>
        <w:t xml:space="preserve"> (2019), n. 1, pp. 87-110.</w:t>
      </w:r>
    </w:p>
    <w:p w:rsidR="000F553A" w:rsidRDefault="00AF351C">
      <w:pPr>
        <w:spacing w:after="100"/>
        <w:ind w:left="425" w:hanging="425"/>
      </w:pPr>
      <w:r>
        <w:t xml:space="preserve">“Presenza responsoriale. Diventare persona”, </w:t>
      </w:r>
      <w:r>
        <w:rPr>
          <w:i/>
          <w:iCs/>
        </w:rPr>
        <w:t>Rassegna di Teologia</w:t>
      </w:r>
      <w:r>
        <w:t xml:space="preserve"> (2019), n. 4, pp. 607-626.</w:t>
      </w:r>
    </w:p>
    <w:p w:rsidR="000F553A" w:rsidRDefault="00AF351C">
      <w:pPr>
        <w:spacing w:after="100"/>
        <w:ind w:left="425" w:hanging="425"/>
      </w:pPr>
      <w:r>
        <w:t xml:space="preserve">“Corpo, spirito, mondo. L’esperienza emergente in Francisco </w:t>
      </w:r>
      <w:proofErr w:type="spellStart"/>
      <w:r>
        <w:t>Varela</w:t>
      </w:r>
      <w:proofErr w:type="spellEnd"/>
      <w:r>
        <w:t xml:space="preserve">”, </w:t>
      </w:r>
      <w:r>
        <w:rPr>
          <w:i/>
          <w:iCs/>
        </w:rPr>
        <w:t>Rassegna di Teologia</w:t>
      </w:r>
      <w:r>
        <w:t xml:space="preserve"> (2020), n. 4, pp. 609-628.</w:t>
      </w:r>
    </w:p>
    <w:p w:rsidR="000F553A" w:rsidRDefault="00AF351C">
      <w:pPr>
        <w:spacing w:after="100"/>
        <w:ind w:left="425" w:hanging="425"/>
      </w:pPr>
      <w:r>
        <w:t>“Una storia del soggetto occidentale. Percorso e tappe dell’</w:t>
      </w:r>
      <w:proofErr w:type="spellStart"/>
      <w:r>
        <w:rPr>
          <w:i/>
          <w:iCs/>
        </w:rPr>
        <w:t>Archéologie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sujet</w:t>
      </w:r>
      <w:proofErr w:type="spellEnd"/>
      <w:r>
        <w:t xml:space="preserve"> di Alain De Libera”, </w:t>
      </w:r>
      <w:r>
        <w:rPr>
          <w:i/>
          <w:iCs/>
        </w:rPr>
        <w:t>Rassegna di Teologia</w:t>
      </w:r>
      <w:r>
        <w:t xml:space="preserve"> (2021), n. 4, pp. 625-642.</w:t>
      </w:r>
    </w:p>
    <w:p w:rsidR="000F553A" w:rsidRDefault="00AF351C">
      <w:pPr>
        <w:spacing w:after="100"/>
        <w:ind w:left="425" w:hanging="425"/>
      </w:pPr>
      <w:r>
        <w:t xml:space="preserve">“Per una ecologia del cervello. L’esperienza umana tra neuroscienze e fenomenologia”, </w:t>
      </w:r>
      <w:r>
        <w:rPr>
          <w:i/>
          <w:iCs/>
        </w:rPr>
        <w:t>Rassegna di Teologia</w:t>
      </w:r>
      <w:r>
        <w:t xml:space="preserve"> (2023), n. 3, pp. 313-334.</w:t>
      </w:r>
    </w:p>
    <w:p w:rsidR="000F553A" w:rsidRDefault="00AF351C">
      <w:pPr>
        <w:spacing w:after="100"/>
        <w:ind w:left="425" w:hanging="425"/>
      </w:pPr>
      <w:r>
        <w:t xml:space="preserve">“L’umano nell’arte”, </w:t>
      </w:r>
      <w:r>
        <w:rPr>
          <w:i/>
          <w:iCs/>
        </w:rPr>
        <w:t xml:space="preserve">AT arti e teologie / </w:t>
      </w:r>
      <w:proofErr w:type="spellStart"/>
      <w:r>
        <w:rPr>
          <w:i/>
          <w:iCs/>
        </w:rPr>
        <w:t>arts</w:t>
      </w:r>
      <w:proofErr w:type="spellEnd"/>
      <w:r>
        <w:rPr>
          <w:i/>
          <w:iCs/>
        </w:rPr>
        <w:t xml:space="preserve"> and </w:t>
      </w:r>
      <w:proofErr w:type="spellStart"/>
      <w:r>
        <w:rPr>
          <w:i/>
          <w:iCs/>
        </w:rPr>
        <w:t>theologies</w:t>
      </w:r>
      <w:proofErr w:type="spellEnd"/>
      <w:r>
        <w:t xml:space="preserve"> 7 (luglio 2024), online: www.artiteologie.it.</w:t>
      </w:r>
    </w:p>
    <w:p w:rsidR="000F553A" w:rsidRDefault="00AF351C">
      <w:pPr>
        <w:spacing w:after="100"/>
        <w:ind w:left="425" w:hanging="425"/>
      </w:pPr>
      <w:r>
        <w:t>“Commento alla sentenza di Hevenesi”, online sul sito dei Gesuiti della regione russa (jesuit.ru), giugno 2025.</w:t>
      </w:r>
    </w:p>
    <w:p w:rsidR="000F553A" w:rsidRDefault="00AF351C">
      <w:pPr>
        <w:spacing w:after="100"/>
        <w:ind w:left="425" w:hanging="425"/>
      </w:pPr>
      <w:r>
        <w:t xml:space="preserve">“Una disciplina misteriosa e inquietante. Considerazioni sulla meccanica quantistica e il suo rapporto con la filosofia”, </w:t>
      </w:r>
      <w:r>
        <w:rPr>
          <w:i/>
          <w:iCs/>
        </w:rPr>
        <w:t>Rassegna di Teologia</w:t>
      </w:r>
      <w:r>
        <w:t xml:space="preserve"> 67 (2026), pp. 43-68.</w:t>
      </w:r>
    </w:p>
    <w:p w:rsidR="000F553A" w:rsidRDefault="00AF351C">
      <w:pPr>
        <w:pStyle w:val="Titolo2"/>
      </w:pPr>
      <w:r>
        <w:lastRenderedPageBreak/>
        <w:t>Recensioni</w:t>
      </w:r>
    </w:p>
    <w:p w:rsidR="000F553A" w:rsidRDefault="00AF351C">
      <w:pPr>
        <w:spacing w:after="100"/>
        <w:ind w:left="425" w:hanging="425"/>
      </w:pPr>
      <w:r>
        <w:t xml:space="preserve">Recensione a C. Frison, </w:t>
      </w:r>
      <w:r>
        <w:rPr>
          <w:i/>
          <w:iCs/>
        </w:rPr>
        <w:t xml:space="preserve">Nel Nome di </w:t>
      </w:r>
      <w:proofErr w:type="spellStart"/>
      <w:r>
        <w:rPr>
          <w:i/>
          <w:iCs/>
        </w:rPr>
        <w:t>Elohim</w:t>
      </w:r>
      <w:proofErr w:type="spellEnd"/>
      <w:r>
        <w:rPr>
          <w:i/>
          <w:iCs/>
        </w:rPr>
        <w:t xml:space="preserve"> e di Yahweh e dello Spirito Santo</w:t>
      </w:r>
      <w:r>
        <w:t xml:space="preserve">, </w:t>
      </w:r>
      <w:proofErr w:type="spellStart"/>
      <w:r>
        <w:t>Cleup</w:t>
      </w:r>
      <w:proofErr w:type="spellEnd"/>
      <w:r>
        <w:t xml:space="preserve">, Padova 2012, in </w:t>
      </w:r>
      <w:r>
        <w:rPr>
          <w:i/>
          <w:iCs/>
        </w:rPr>
        <w:t>Padova e il suo territorio</w:t>
      </w:r>
      <w:r>
        <w:t xml:space="preserve"> 160 (dicembre 2012), pp. 53-54.</w:t>
      </w:r>
    </w:p>
    <w:p w:rsidR="000F553A" w:rsidRPr="006F328A" w:rsidRDefault="00AF351C">
      <w:pPr>
        <w:spacing w:after="100"/>
        <w:ind w:left="425" w:hanging="425"/>
        <w:rPr>
          <w:lang w:val="es-ES"/>
        </w:rPr>
      </w:pPr>
      <w:r w:rsidRPr="006F328A">
        <w:rPr>
          <w:lang w:val="es-ES"/>
        </w:rPr>
        <w:t xml:space="preserve">Recensione a N. B. Kviatkovski, </w:t>
      </w:r>
      <w:r w:rsidRPr="006F328A">
        <w:rPr>
          <w:i/>
          <w:iCs/>
          <w:lang w:val="es-ES"/>
        </w:rPr>
        <w:t>La misión del Espíritu Santo en la experiencia ignaciana. Un estudio desde el epistolario de Ignacio de Loyola</w:t>
      </w:r>
      <w:r w:rsidRPr="006F328A">
        <w:rPr>
          <w:lang w:val="es-ES"/>
        </w:rPr>
        <w:t>, Mensajero–Sal Terrae–Comillas, 2025</w:t>
      </w:r>
    </w:p>
    <w:sectPr w:rsidR="000F553A" w:rsidRPr="006F328A">
      <w:footerReference w:type="default" r:id="rId7"/>
      <w:pgSz w:w="11906" w:h="16838"/>
      <w:pgMar w:top="1417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73DA" w:rsidRDefault="002C73DA">
      <w:r>
        <w:separator/>
      </w:r>
    </w:p>
  </w:endnote>
  <w:endnote w:type="continuationSeparator" w:id="0">
    <w:p w:rsidR="002C73DA" w:rsidRDefault="002C7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553A" w:rsidRDefault="00AF351C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6F328A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73DA" w:rsidRDefault="002C73DA">
      <w:r>
        <w:separator/>
      </w:r>
    </w:p>
  </w:footnote>
  <w:footnote w:type="continuationSeparator" w:id="0">
    <w:p w:rsidR="002C73DA" w:rsidRDefault="002C7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D55199"/>
    <w:multiLevelType w:val="hybridMultilevel"/>
    <w:tmpl w:val="50203CE8"/>
    <w:lvl w:ilvl="0" w:tplc="1FE85250">
      <w:start w:val="1"/>
      <w:numFmt w:val="bullet"/>
      <w:lvlText w:val="●"/>
      <w:lvlJc w:val="left"/>
      <w:pPr>
        <w:ind w:left="720" w:hanging="360"/>
      </w:pPr>
    </w:lvl>
    <w:lvl w:ilvl="1" w:tplc="3D58ED3E">
      <w:start w:val="1"/>
      <w:numFmt w:val="bullet"/>
      <w:lvlText w:val="○"/>
      <w:lvlJc w:val="left"/>
      <w:pPr>
        <w:ind w:left="1440" w:hanging="360"/>
      </w:pPr>
    </w:lvl>
    <w:lvl w:ilvl="2" w:tplc="EB8AAC86">
      <w:start w:val="1"/>
      <w:numFmt w:val="bullet"/>
      <w:lvlText w:val="■"/>
      <w:lvlJc w:val="left"/>
      <w:pPr>
        <w:ind w:left="2160" w:hanging="360"/>
      </w:pPr>
    </w:lvl>
    <w:lvl w:ilvl="3" w:tplc="3E54AD84">
      <w:start w:val="1"/>
      <w:numFmt w:val="bullet"/>
      <w:lvlText w:val="●"/>
      <w:lvlJc w:val="left"/>
      <w:pPr>
        <w:ind w:left="2880" w:hanging="360"/>
      </w:pPr>
    </w:lvl>
    <w:lvl w:ilvl="4" w:tplc="4182926A">
      <w:start w:val="1"/>
      <w:numFmt w:val="bullet"/>
      <w:lvlText w:val="○"/>
      <w:lvlJc w:val="left"/>
      <w:pPr>
        <w:ind w:left="3600" w:hanging="360"/>
      </w:pPr>
    </w:lvl>
    <w:lvl w:ilvl="5" w:tplc="8F764A44">
      <w:start w:val="1"/>
      <w:numFmt w:val="bullet"/>
      <w:lvlText w:val="■"/>
      <w:lvlJc w:val="left"/>
      <w:pPr>
        <w:ind w:left="4320" w:hanging="360"/>
      </w:pPr>
    </w:lvl>
    <w:lvl w:ilvl="6" w:tplc="A89C004A">
      <w:start w:val="1"/>
      <w:numFmt w:val="bullet"/>
      <w:lvlText w:val="●"/>
      <w:lvlJc w:val="left"/>
      <w:pPr>
        <w:ind w:left="5040" w:hanging="360"/>
      </w:pPr>
    </w:lvl>
    <w:lvl w:ilvl="7" w:tplc="897AA394">
      <w:start w:val="1"/>
      <w:numFmt w:val="bullet"/>
      <w:lvlText w:val="●"/>
      <w:lvlJc w:val="left"/>
      <w:pPr>
        <w:ind w:left="5760" w:hanging="360"/>
      </w:pPr>
    </w:lvl>
    <w:lvl w:ilvl="8" w:tplc="ECCAC94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53A"/>
    <w:rsid w:val="000F553A"/>
    <w:rsid w:val="002C73DA"/>
    <w:rsid w:val="00430025"/>
    <w:rsid w:val="004331D0"/>
    <w:rsid w:val="00545ADC"/>
    <w:rsid w:val="006C79EA"/>
    <w:rsid w:val="006D52D4"/>
    <w:rsid w:val="006F328A"/>
    <w:rsid w:val="007162EF"/>
    <w:rsid w:val="00726C7F"/>
    <w:rsid w:val="0083782C"/>
    <w:rsid w:val="008F7101"/>
    <w:rsid w:val="009B0B63"/>
    <w:rsid w:val="00AF351C"/>
    <w:rsid w:val="00D82448"/>
    <w:rsid w:val="00D949EE"/>
    <w:rsid w:val="00FB5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31ED3"/>
  <w15:docId w15:val="{F8F8332F-755E-48D2-9503-5AF1A3C6F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keepNext/>
      <w:spacing w:before="320" w:after="140"/>
      <w:outlineLvl w:val="0"/>
    </w:pPr>
    <w:rPr>
      <w:b/>
      <w:bCs/>
      <w:sz w:val="28"/>
      <w:szCs w:val="28"/>
    </w:rPr>
  </w:style>
  <w:style w:type="paragraph" w:styleId="Titolo2">
    <w:name w:val="heading 2"/>
    <w:uiPriority w:val="9"/>
    <w:unhideWhenUsed/>
    <w:qFormat/>
    <w:pPr>
      <w:keepNext/>
      <w:spacing w:before="240" w:after="120"/>
      <w:outlineLvl w:val="1"/>
    </w:pPr>
    <w:rPr>
      <w:b/>
      <w:bCs/>
      <w:color w:val="404040"/>
      <w:sz w:val="24"/>
      <w:szCs w:val="24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1391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Curriculum vitae di Secondo Bongiovanni</vt:lpstr>
    </vt:vector>
  </TitlesOfParts>
  <Company/>
  <LinksUpToDate>false</LinksUpToDate>
  <CharactersWithSpaces>9302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di Secondo Bongiovanni</dc:title>
  <dc:creator>S. Bongiovanni</dc:creator>
  <cp:lastModifiedBy>Secondo Bongiovani</cp:lastModifiedBy>
  <cp:revision>4</cp:revision>
  <dcterms:created xsi:type="dcterms:W3CDTF">2026-10-02T06:20:00Z</dcterms:created>
  <dcterms:modified xsi:type="dcterms:W3CDTF">2026-10-02T07:04:00Z</dcterms:modified>
</cp:coreProperties>
</file>