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14" w:rsidRDefault="002B1514" w:rsidP="002B1514">
      <w:pPr>
        <w:pStyle w:val="Header"/>
      </w:pPr>
      <w:r>
        <w:rPr>
          <w:noProof/>
        </w:rPr>
        <mc:AlternateContent>
          <mc:Choice Requires="wps">
            <w:drawing>
              <wp:anchor distT="0" distB="0" distL="114300" distR="114300" simplePos="0" relativeHeight="251659264" behindDoc="0" locked="0" layoutInCell="1" allowOverlap="1" wp14:anchorId="4CE6297E" wp14:editId="34D2B3F2">
                <wp:simplePos x="0" y="0"/>
                <wp:positionH relativeFrom="column">
                  <wp:posOffset>1028700</wp:posOffset>
                </wp:positionH>
                <wp:positionV relativeFrom="paragraph">
                  <wp:posOffset>-635</wp:posOffset>
                </wp:positionV>
                <wp:extent cx="4863465" cy="1089025"/>
                <wp:effectExtent l="3810" t="1270" r="0" b="0"/>
                <wp:wrapNone/>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3465" cy="1089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B1514" w:rsidRPr="000D10D2" w:rsidRDefault="002B1514" w:rsidP="002B1514">
                            <w:pPr>
                              <w:spacing w:line="360" w:lineRule="auto"/>
                              <w:jc w:val="center"/>
                              <w:rPr>
                                <w:rFonts w:ascii="Times New Roman" w:hAnsi="Times New Roman" w:cs="Times New Roman"/>
                                <w:smallCaps/>
                                <w:sz w:val="26"/>
                                <w:szCs w:val="26"/>
                              </w:rPr>
                            </w:pPr>
                            <w:r w:rsidRPr="000D10D2">
                              <w:rPr>
                                <w:rFonts w:ascii="Times New Roman" w:hAnsi="Times New Roman" w:cs="Times New Roman"/>
                                <w:smallCaps/>
                                <w:sz w:val="26"/>
                                <w:szCs w:val="26"/>
                              </w:rPr>
                              <w:t>Università degli Studi di Napoli Federico II</w:t>
                            </w:r>
                          </w:p>
                          <w:p w:rsidR="002B1514" w:rsidRPr="00263E52" w:rsidRDefault="002B1514" w:rsidP="002B1514">
                            <w:pPr>
                              <w:jc w:val="center"/>
                              <w:rPr>
                                <w:rFonts w:ascii="Times New Roman" w:hAnsi="Times New Roman" w:cs="Times New Roman"/>
                                <w:i/>
                              </w:rPr>
                            </w:pPr>
                            <w:r w:rsidRPr="00263E52">
                              <w:rPr>
                                <w:rFonts w:ascii="Times New Roman" w:hAnsi="Times New Roman" w:cs="Times New Roman"/>
                                <w:i/>
                              </w:rPr>
                              <w:t>Dipartimento di Scienze Politiche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margin-left:81pt;margin-top:-.05pt;width:382.95pt;height:8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" stroked="f">
                <v:textbox>
                  <w:txbxContent>
                    <w:p w:rsidR="002B1514" w:rsidRPr="000D10D2" w:rsidRDefault="002B1514" w:rsidP="002B1514">
                      <w:pPr>
                        <w:spacing w:line="360" w:lineRule="auto"/>
                        <w:jc w:val="center"/>
                        <w:rPr>
                          <w:rFonts w:ascii="Times New Roman" w:hAnsi="Times New Roman" w:cs="Times New Roman"/>
                          <w:smallCaps/>
                          <w:sz w:val="26"/>
                          <w:szCs w:val="26"/>
                        </w:rPr>
                      </w:pPr>
                      <w:r w:rsidRPr="000D10D2">
                        <w:rPr>
                          <w:rFonts w:ascii="Times New Roman" w:hAnsi="Times New Roman" w:cs="Times New Roman"/>
                          <w:smallCaps/>
                          <w:sz w:val="26"/>
                          <w:szCs w:val="26"/>
                        </w:rPr>
                        <w:t>Università degli Studi di Napoli Federico II</w:t>
                      </w:r>
                    </w:p>
                    <w:p w:rsidR="002B1514" w:rsidRPr="00263E52" w:rsidRDefault="002B1514" w:rsidP="002B1514">
                      <w:pPr>
                        <w:jc w:val="center"/>
                        <w:rPr>
                          <w:rFonts w:ascii="Times New Roman" w:hAnsi="Times New Roman" w:cs="Times New Roman"/>
                          <w:i/>
                        </w:rPr>
                      </w:pPr>
                      <w:r w:rsidRPr="00263E52">
                        <w:rPr>
                          <w:rFonts w:ascii="Times New Roman" w:hAnsi="Times New Roman" w:cs="Times New Roman"/>
                          <w:i/>
                        </w:rPr>
                        <w:t>Dipartimento di Scienze Politiche</w:t>
                      </w:r>
                    </w:p>
                  </w:txbxContent>
                </v:textbox>
              </v:shape>
            </w:pict>
          </mc:Fallback>
        </mc:AlternateContent>
      </w:r>
      <w:r>
        <w:rPr>
          <w:noProof/>
        </w:rPr>
        <w:drawing>
          <wp:inline distT="0" distB="0" distL="0" distR="0" wp14:anchorId="124E1758" wp14:editId="58E248EF">
            <wp:extent cx="914400" cy="9144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p w:rsidR="002B1514" w:rsidRDefault="00263E52" w:rsidP="00263E52">
      <w:pPr>
        <w:jc w:val="center"/>
        <w:rPr>
          <w:rFonts w:ascii="Times New Roman" w:hAnsi="Times New Roman" w:cs="Times New Roman"/>
          <w:b/>
          <w:sz w:val="26"/>
          <w:szCs w:val="28"/>
          <w:lang w:val="en-US"/>
        </w:rPr>
      </w:pPr>
      <w:proofErr w:type="spellStart"/>
      <w:r>
        <w:rPr>
          <w:rFonts w:ascii="Times New Roman" w:hAnsi="Times New Roman" w:cs="Times New Roman"/>
          <w:b/>
          <w:sz w:val="26"/>
          <w:szCs w:val="28"/>
          <w:lang w:val="en-US"/>
        </w:rPr>
        <w:t>LastL</w:t>
      </w:r>
      <w:proofErr w:type="spellEnd"/>
    </w:p>
    <w:p w:rsidR="002B1514" w:rsidRPr="00263E52" w:rsidRDefault="00263E52" w:rsidP="00263E52">
      <w:pPr>
        <w:jc w:val="center"/>
        <w:rPr>
          <w:rFonts w:ascii="Times New Roman" w:hAnsi="Times New Roman" w:cs="Times New Roman"/>
          <w:sz w:val="24"/>
          <w:szCs w:val="24"/>
          <w:lang w:val="en-US"/>
        </w:rPr>
      </w:pPr>
      <w:r w:rsidRPr="00263E52">
        <w:rPr>
          <w:rFonts w:ascii="Times New Roman" w:hAnsi="Times New Roman" w:cs="Times New Roman"/>
          <w:sz w:val="24"/>
          <w:szCs w:val="24"/>
          <w:lang w:val="en-US"/>
        </w:rPr>
        <w:t>Latest Publications</w:t>
      </w:r>
    </w:p>
    <w:p w:rsidR="00263E52" w:rsidRDefault="00263E52" w:rsidP="005D1568">
      <w:pPr>
        <w:pStyle w:val="HTMLPreformatted"/>
        <w:shd w:val="clear" w:color="auto" w:fill="FFFFFF"/>
        <w:spacing w:line="240" w:lineRule="atLeast"/>
        <w:jc w:val="both"/>
        <w:rPr>
          <w:rFonts w:ascii="Times New Roman" w:hAnsi="Times New Roman" w:cs="Times New Roman"/>
          <w:b/>
          <w:sz w:val="26"/>
          <w:szCs w:val="28"/>
          <w:lang w:val="en-US"/>
        </w:rPr>
      </w:pPr>
      <w:bookmarkStart w:id="0" w:name="_GoBack"/>
      <w:bookmarkEnd w:id="0"/>
    </w:p>
    <w:p w:rsidR="00EE0D10" w:rsidRPr="00657BA2" w:rsidRDefault="002B1514" w:rsidP="005D1568">
      <w:pPr>
        <w:pStyle w:val="HTMLPreformatted"/>
        <w:shd w:val="clear" w:color="auto" w:fill="FFFFFF"/>
        <w:spacing w:line="240" w:lineRule="atLeast"/>
        <w:jc w:val="both"/>
        <w:rPr>
          <w:rFonts w:ascii="Times New Roman" w:hAnsi="Times New Roman" w:cs="Times New Roman"/>
          <w:sz w:val="22"/>
          <w:szCs w:val="22"/>
          <w:lang w:val="en-US"/>
        </w:rPr>
      </w:pPr>
      <w:r w:rsidRPr="00622522">
        <w:rPr>
          <w:rFonts w:ascii="Times New Roman" w:hAnsi="Times New Roman" w:cs="Times New Roman"/>
          <w:b/>
          <w:sz w:val="26"/>
          <w:szCs w:val="28"/>
          <w:lang w:val="en-US"/>
        </w:rPr>
        <w:t xml:space="preserve">Giacomo Di </w:t>
      </w:r>
      <w:proofErr w:type="spellStart"/>
      <w:r w:rsidRPr="00622522">
        <w:rPr>
          <w:rFonts w:ascii="Times New Roman" w:hAnsi="Times New Roman" w:cs="Times New Roman"/>
          <w:b/>
          <w:sz w:val="26"/>
          <w:szCs w:val="28"/>
          <w:lang w:val="en-US"/>
        </w:rPr>
        <w:t>Gennaro</w:t>
      </w:r>
      <w:proofErr w:type="spellEnd"/>
      <w:r w:rsidRPr="00622522">
        <w:rPr>
          <w:lang w:val="en-US"/>
        </w:rPr>
        <w:t>,</w:t>
      </w:r>
      <w:r w:rsidR="00657BA2">
        <w:rPr>
          <w:lang w:val="en-US"/>
        </w:rPr>
        <w:t xml:space="preserve"> </w:t>
      </w:r>
      <w:r w:rsidRPr="00657BA2">
        <w:rPr>
          <w:rFonts w:ascii="Times New Roman" w:hAnsi="Times New Roman" w:cs="Times New Roman"/>
          <w:sz w:val="22"/>
          <w:szCs w:val="22"/>
          <w:lang w:val="en-US"/>
        </w:rPr>
        <w:t xml:space="preserve">Professor of Sociology and Planning and Management of Social Policies, has been teaching for years Sociology of criminal organizations in the Master’s Degree in “Criminology and Criminal Law. Criminal and Policy Analysis for Urban Security” of which he is Director since 2010, at Federico II, University of Naples. He is a member of the Department of Political Science. He was a member of the Scientific Committee of the «Observatory on the Camorra and the illegality in Naples» from 2005 to 2009. </w:t>
      </w:r>
      <w:r w:rsidR="00657BA2" w:rsidRPr="00657BA2">
        <w:rPr>
          <w:rFonts w:ascii="Times New Roman" w:hAnsi="Times New Roman" w:cs="Times New Roman"/>
          <w:color w:val="212121"/>
          <w:sz w:val="22"/>
          <w:szCs w:val="22"/>
          <w:lang w:val="en"/>
        </w:rPr>
        <w:t>He publishes</w:t>
      </w:r>
      <w:r w:rsidR="00657BA2">
        <w:rPr>
          <w:rFonts w:ascii="Times New Roman" w:hAnsi="Times New Roman" w:cs="Times New Roman"/>
          <w:color w:val="212121"/>
          <w:sz w:val="22"/>
          <w:szCs w:val="22"/>
          <w:lang w:val="en"/>
        </w:rPr>
        <w:t>,</w:t>
      </w:r>
      <w:r w:rsidR="00657BA2" w:rsidRPr="00657BA2">
        <w:rPr>
          <w:rFonts w:ascii="Times New Roman" w:hAnsi="Times New Roman" w:cs="Times New Roman"/>
          <w:color w:val="212121"/>
          <w:sz w:val="22"/>
          <w:szCs w:val="22"/>
          <w:lang w:val="en"/>
        </w:rPr>
        <w:t xml:space="preserve"> with R. </w:t>
      </w:r>
      <w:proofErr w:type="spellStart"/>
      <w:r w:rsidR="00657BA2" w:rsidRPr="00657BA2">
        <w:rPr>
          <w:rFonts w:ascii="Times New Roman" w:hAnsi="Times New Roman" w:cs="Times New Roman"/>
          <w:color w:val="212121"/>
          <w:sz w:val="22"/>
          <w:szCs w:val="22"/>
          <w:lang w:val="en"/>
        </w:rPr>
        <w:t>Marselli</w:t>
      </w:r>
      <w:proofErr w:type="spellEnd"/>
      <w:r w:rsidR="00657BA2">
        <w:rPr>
          <w:rFonts w:ascii="Times New Roman" w:hAnsi="Times New Roman" w:cs="Times New Roman"/>
          <w:color w:val="212121"/>
          <w:sz w:val="22"/>
          <w:szCs w:val="22"/>
          <w:lang w:val="en"/>
        </w:rPr>
        <w:t>,</w:t>
      </w:r>
      <w:r w:rsidR="00657BA2" w:rsidRPr="00657BA2">
        <w:rPr>
          <w:rFonts w:ascii="Times New Roman" w:hAnsi="Times New Roman" w:cs="Times New Roman"/>
          <w:color w:val="212121"/>
          <w:sz w:val="22"/>
          <w:szCs w:val="22"/>
          <w:lang w:val="en"/>
        </w:rPr>
        <w:t xml:space="preserve"> since 2015, the </w:t>
      </w:r>
      <w:r w:rsidR="00657BA2" w:rsidRPr="00657BA2">
        <w:rPr>
          <w:rFonts w:ascii="Times New Roman" w:hAnsi="Times New Roman" w:cs="Times New Roman"/>
          <w:i/>
          <w:color w:val="212121"/>
          <w:sz w:val="22"/>
          <w:szCs w:val="22"/>
          <w:lang w:val="en"/>
        </w:rPr>
        <w:t>Report on Crime and Security in Naples</w:t>
      </w:r>
      <w:r w:rsidR="00657BA2" w:rsidRPr="00657BA2">
        <w:rPr>
          <w:rFonts w:ascii="Times New Roman" w:hAnsi="Times New Roman" w:cs="Times New Roman"/>
          <w:color w:val="212121"/>
          <w:sz w:val="22"/>
          <w:szCs w:val="22"/>
          <w:lang w:val="en"/>
        </w:rPr>
        <w:t xml:space="preserve">. </w:t>
      </w:r>
      <w:r w:rsidRPr="00657BA2">
        <w:rPr>
          <w:rFonts w:ascii="Times New Roman" w:hAnsi="Times New Roman" w:cs="Times New Roman"/>
          <w:sz w:val="22"/>
          <w:szCs w:val="22"/>
          <w:lang w:val="en-US"/>
        </w:rPr>
        <w:t xml:space="preserve">Latest publications: </w:t>
      </w:r>
      <w:r w:rsidR="004C519B" w:rsidRPr="00657BA2">
        <w:rPr>
          <w:rFonts w:ascii="Times New Roman" w:hAnsi="Times New Roman" w:cs="Times New Roman"/>
          <w:sz w:val="22"/>
          <w:szCs w:val="22"/>
          <w:lang w:val="en-US"/>
        </w:rPr>
        <w:t xml:space="preserve">(2009), </w:t>
      </w:r>
      <w:proofErr w:type="spellStart"/>
      <w:r w:rsidR="004C519B" w:rsidRPr="00657BA2">
        <w:rPr>
          <w:rFonts w:ascii="Times New Roman" w:hAnsi="Times New Roman" w:cs="Times New Roman"/>
          <w:i/>
          <w:snapToGrid w:val="0"/>
          <w:sz w:val="22"/>
          <w:szCs w:val="22"/>
          <w:lang w:val="en-US"/>
        </w:rPr>
        <w:t>Variabilità</w:t>
      </w:r>
      <w:proofErr w:type="spellEnd"/>
      <w:r w:rsidR="004C519B" w:rsidRPr="00657BA2">
        <w:rPr>
          <w:rFonts w:ascii="Times New Roman" w:hAnsi="Times New Roman" w:cs="Times New Roman"/>
          <w:i/>
          <w:snapToGrid w:val="0"/>
          <w:sz w:val="22"/>
          <w:szCs w:val="22"/>
          <w:lang w:val="en-US"/>
        </w:rPr>
        <w:t xml:space="preserve"> </w:t>
      </w:r>
      <w:proofErr w:type="spellStart"/>
      <w:r w:rsidR="004C519B" w:rsidRPr="00657BA2">
        <w:rPr>
          <w:rFonts w:ascii="Times New Roman" w:hAnsi="Times New Roman" w:cs="Times New Roman"/>
          <w:i/>
          <w:snapToGrid w:val="0"/>
          <w:sz w:val="22"/>
          <w:szCs w:val="22"/>
          <w:lang w:val="en-US"/>
        </w:rPr>
        <w:t>dell’affidamento</w:t>
      </w:r>
      <w:proofErr w:type="spellEnd"/>
      <w:r w:rsidR="004C519B" w:rsidRPr="00657BA2">
        <w:rPr>
          <w:rFonts w:ascii="Times New Roman" w:hAnsi="Times New Roman" w:cs="Times New Roman"/>
          <w:i/>
          <w:snapToGrid w:val="0"/>
          <w:sz w:val="22"/>
          <w:szCs w:val="22"/>
          <w:lang w:val="en-US"/>
        </w:rPr>
        <w:t xml:space="preserve"> al </w:t>
      </w:r>
      <w:proofErr w:type="spellStart"/>
      <w:r w:rsidR="004C519B" w:rsidRPr="00657BA2">
        <w:rPr>
          <w:rFonts w:ascii="Times New Roman" w:hAnsi="Times New Roman" w:cs="Times New Roman"/>
          <w:i/>
          <w:snapToGrid w:val="0"/>
          <w:sz w:val="22"/>
          <w:szCs w:val="22"/>
          <w:lang w:val="en-US"/>
        </w:rPr>
        <w:t>soprannaturale</w:t>
      </w:r>
      <w:proofErr w:type="spellEnd"/>
      <w:r w:rsidR="004C519B" w:rsidRPr="00657BA2">
        <w:rPr>
          <w:rFonts w:ascii="Times New Roman" w:hAnsi="Times New Roman" w:cs="Times New Roman"/>
          <w:i/>
          <w:snapToGrid w:val="0"/>
          <w:sz w:val="22"/>
          <w:szCs w:val="22"/>
          <w:lang w:val="en-US"/>
        </w:rPr>
        <w:t xml:space="preserve"> </w:t>
      </w:r>
      <w:proofErr w:type="spellStart"/>
      <w:r w:rsidR="004C519B" w:rsidRPr="00657BA2">
        <w:rPr>
          <w:rFonts w:ascii="Times New Roman" w:hAnsi="Times New Roman" w:cs="Times New Roman"/>
          <w:i/>
          <w:snapToGrid w:val="0"/>
          <w:sz w:val="22"/>
          <w:szCs w:val="22"/>
          <w:lang w:val="en-US"/>
        </w:rPr>
        <w:t>nelle</w:t>
      </w:r>
      <w:proofErr w:type="spellEnd"/>
      <w:r w:rsidR="004C519B" w:rsidRPr="00657BA2">
        <w:rPr>
          <w:rFonts w:ascii="Times New Roman" w:hAnsi="Times New Roman" w:cs="Times New Roman"/>
          <w:i/>
          <w:snapToGrid w:val="0"/>
          <w:sz w:val="22"/>
          <w:szCs w:val="22"/>
          <w:lang w:val="en-US"/>
        </w:rPr>
        <w:t xml:space="preserve"> </w:t>
      </w:r>
      <w:proofErr w:type="spellStart"/>
      <w:r w:rsidR="004C519B" w:rsidRPr="00657BA2">
        <w:rPr>
          <w:rFonts w:ascii="Times New Roman" w:hAnsi="Times New Roman" w:cs="Times New Roman"/>
          <w:i/>
          <w:snapToGrid w:val="0"/>
          <w:sz w:val="22"/>
          <w:szCs w:val="22"/>
          <w:lang w:val="en-US"/>
        </w:rPr>
        <w:t>società</w:t>
      </w:r>
      <w:proofErr w:type="spellEnd"/>
      <w:r w:rsidR="004C519B" w:rsidRPr="00657BA2">
        <w:rPr>
          <w:rFonts w:ascii="Times New Roman" w:hAnsi="Times New Roman" w:cs="Times New Roman"/>
          <w:i/>
          <w:snapToGrid w:val="0"/>
          <w:sz w:val="22"/>
          <w:szCs w:val="22"/>
          <w:lang w:val="en-US"/>
        </w:rPr>
        <w:t xml:space="preserve"> </w:t>
      </w:r>
      <w:proofErr w:type="spellStart"/>
      <w:r w:rsidR="004C519B" w:rsidRPr="00657BA2">
        <w:rPr>
          <w:rFonts w:ascii="Times New Roman" w:hAnsi="Times New Roman" w:cs="Times New Roman"/>
          <w:i/>
          <w:snapToGrid w:val="0"/>
          <w:sz w:val="22"/>
          <w:szCs w:val="22"/>
          <w:lang w:val="en-US"/>
        </w:rPr>
        <w:t>avanzate</w:t>
      </w:r>
      <w:proofErr w:type="spellEnd"/>
      <w:r w:rsidR="004C519B" w:rsidRPr="00657BA2">
        <w:rPr>
          <w:rFonts w:ascii="Times New Roman" w:hAnsi="Times New Roman" w:cs="Times New Roman"/>
          <w:i/>
          <w:snapToGrid w:val="0"/>
          <w:sz w:val="22"/>
          <w:szCs w:val="22"/>
          <w:lang w:val="en-US"/>
        </w:rPr>
        <w:t xml:space="preserve">. </w:t>
      </w:r>
      <w:r w:rsidR="004C519B" w:rsidRPr="00657BA2">
        <w:rPr>
          <w:rFonts w:ascii="Times New Roman" w:hAnsi="Times New Roman" w:cs="Times New Roman"/>
          <w:i/>
          <w:snapToGrid w:val="0"/>
          <w:sz w:val="22"/>
          <w:szCs w:val="22"/>
        </w:rPr>
        <w:t>Oltre le tesi della secolarizzazione</w:t>
      </w:r>
      <w:r w:rsidR="004C519B" w:rsidRPr="00657BA2">
        <w:rPr>
          <w:rFonts w:ascii="Times New Roman" w:hAnsi="Times New Roman" w:cs="Times New Roman"/>
          <w:snapToGrid w:val="0"/>
          <w:sz w:val="22"/>
          <w:szCs w:val="22"/>
        </w:rPr>
        <w:t xml:space="preserve">, in A. Milano (a cura di), </w:t>
      </w:r>
      <w:r w:rsidR="004C519B" w:rsidRPr="00657BA2">
        <w:rPr>
          <w:rFonts w:ascii="Times New Roman" w:hAnsi="Times New Roman" w:cs="Times New Roman"/>
          <w:i/>
          <w:snapToGrid w:val="0"/>
          <w:sz w:val="22"/>
          <w:szCs w:val="22"/>
        </w:rPr>
        <w:t>La secolarizzazione in Italia nella seconda metà del Novecento. Bilanci e prospettive</w:t>
      </w:r>
      <w:r w:rsidR="004C519B" w:rsidRPr="00657BA2">
        <w:rPr>
          <w:rFonts w:ascii="Times New Roman" w:hAnsi="Times New Roman" w:cs="Times New Roman"/>
          <w:snapToGrid w:val="0"/>
          <w:sz w:val="22"/>
          <w:szCs w:val="22"/>
        </w:rPr>
        <w:t xml:space="preserve">, «Humanitas», </w:t>
      </w:r>
      <w:smartTag w:uri="urn:schemas-microsoft-com:office:smarttags" w:element="PersonName">
        <w:smartTagPr>
          <w:attr w:name="ProductID" w:val="La Morcelliana"/>
        </w:smartTagPr>
        <w:r w:rsidR="004C519B" w:rsidRPr="00657BA2">
          <w:rPr>
            <w:rFonts w:ascii="Times New Roman" w:hAnsi="Times New Roman" w:cs="Times New Roman"/>
            <w:snapToGrid w:val="0"/>
            <w:sz w:val="22"/>
            <w:szCs w:val="22"/>
          </w:rPr>
          <w:t>La Morcelliana</w:t>
        </w:r>
      </w:smartTag>
      <w:r w:rsidR="004C519B" w:rsidRPr="00657BA2">
        <w:rPr>
          <w:rFonts w:ascii="Times New Roman" w:hAnsi="Times New Roman" w:cs="Times New Roman"/>
          <w:snapToGrid w:val="0"/>
          <w:sz w:val="22"/>
          <w:szCs w:val="22"/>
        </w:rPr>
        <w:t>, Brescia, pp. 91-125</w:t>
      </w:r>
      <w:r w:rsidR="004C519B" w:rsidRPr="00657BA2">
        <w:rPr>
          <w:rFonts w:ascii="Times New Roman" w:hAnsi="Times New Roman" w:cs="Times New Roman"/>
          <w:snapToGrid w:val="0"/>
          <w:sz w:val="22"/>
          <w:szCs w:val="22"/>
        </w:rPr>
        <w:t xml:space="preserve">; (2010), </w:t>
      </w:r>
      <w:r w:rsidR="004C519B" w:rsidRPr="00657BA2">
        <w:rPr>
          <w:rFonts w:ascii="Times New Roman" w:hAnsi="Times New Roman" w:cs="Times New Roman"/>
          <w:i/>
          <w:sz w:val="22"/>
          <w:szCs w:val="22"/>
        </w:rPr>
        <w:t>Quale modernizzazione per lo sviluppo solidale?</w:t>
      </w:r>
      <w:r w:rsidR="004C519B" w:rsidRPr="00657BA2">
        <w:rPr>
          <w:rFonts w:ascii="Times New Roman" w:hAnsi="Times New Roman" w:cs="Times New Roman"/>
          <w:sz w:val="22"/>
          <w:szCs w:val="22"/>
        </w:rPr>
        <w:t xml:space="preserve">, in G. Di Palma e P. Giustiniani, </w:t>
      </w:r>
      <w:r w:rsidR="004C519B" w:rsidRPr="00657BA2">
        <w:rPr>
          <w:rFonts w:ascii="Times New Roman" w:hAnsi="Times New Roman" w:cs="Times New Roman"/>
          <w:i/>
          <w:sz w:val="22"/>
          <w:szCs w:val="22"/>
        </w:rPr>
        <w:t>Quale sviluppo solidale?</w:t>
      </w:r>
      <w:r w:rsidR="004C519B" w:rsidRPr="00657BA2">
        <w:rPr>
          <w:rFonts w:ascii="Times New Roman" w:hAnsi="Times New Roman" w:cs="Times New Roman"/>
          <w:sz w:val="22"/>
          <w:szCs w:val="22"/>
        </w:rPr>
        <w:t>, Verbum Ferens, Napoli, pp. 31-46</w:t>
      </w:r>
      <w:r w:rsidR="004C519B" w:rsidRPr="00657BA2">
        <w:rPr>
          <w:rFonts w:ascii="Times New Roman" w:hAnsi="Times New Roman" w:cs="Times New Roman"/>
          <w:sz w:val="22"/>
          <w:szCs w:val="22"/>
        </w:rPr>
        <w:t xml:space="preserve">; (2010), (eds. With A. La Spina), </w:t>
      </w:r>
      <w:r w:rsidR="004C519B" w:rsidRPr="00657BA2">
        <w:rPr>
          <w:rFonts w:ascii="Times New Roman" w:hAnsi="Times New Roman" w:cs="Times New Roman"/>
          <w:i/>
          <w:sz w:val="22"/>
          <w:szCs w:val="22"/>
        </w:rPr>
        <w:t>I costi dell’illegalità. Camorra ed estorsioni in Campania</w:t>
      </w:r>
      <w:r w:rsidR="004C519B" w:rsidRPr="00657BA2">
        <w:rPr>
          <w:rFonts w:ascii="Times New Roman" w:hAnsi="Times New Roman" w:cs="Times New Roman"/>
          <w:sz w:val="22"/>
          <w:szCs w:val="22"/>
        </w:rPr>
        <w:t>, il Mulino, Bologna;</w:t>
      </w:r>
      <w:r w:rsidR="00202E7C" w:rsidRPr="00657BA2">
        <w:rPr>
          <w:rFonts w:ascii="Times New Roman" w:hAnsi="Times New Roman" w:cs="Times New Roman"/>
          <w:sz w:val="22"/>
          <w:szCs w:val="22"/>
        </w:rPr>
        <w:t xml:space="preserve"> </w:t>
      </w:r>
      <w:r w:rsidR="004C519B" w:rsidRPr="00657BA2">
        <w:rPr>
          <w:rFonts w:ascii="Times New Roman" w:hAnsi="Times New Roman" w:cs="Times New Roman"/>
          <w:sz w:val="22"/>
          <w:szCs w:val="22"/>
        </w:rPr>
        <w:t xml:space="preserve">(2013), </w:t>
      </w:r>
      <w:r w:rsidR="004C519B" w:rsidRPr="00657BA2">
        <w:rPr>
          <w:rFonts w:ascii="Times New Roman" w:hAnsi="Times New Roman" w:cs="Times New Roman"/>
          <w:i/>
          <w:sz w:val="22"/>
          <w:szCs w:val="22"/>
        </w:rPr>
        <w:t>Estorsioni e usura: l'impatto distorsivo delle attività illegali dei clan di camorra sull'economia regionale campana</w:t>
      </w:r>
      <w:r w:rsidR="004C519B" w:rsidRPr="00657BA2">
        <w:rPr>
          <w:rFonts w:ascii="Times New Roman" w:hAnsi="Times New Roman" w:cs="Times New Roman"/>
          <w:sz w:val="22"/>
          <w:szCs w:val="22"/>
        </w:rPr>
        <w:t xml:space="preserve">, “Rassegna Economica”; (2013), (eds with R. Marselli), </w:t>
      </w:r>
      <w:r w:rsidR="004C519B" w:rsidRPr="00657BA2">
        <w:rPr>
          <w:rFonts w:ascii="Times New Roman" w:hAnsi="Times New Roman" w:cs="Times New Roman"/>
          <w:i/>
          <w:sz w:val="22"/>
          <w:szCs w:val="22"/>
        </w:rPr>
        <w:t>Access to Credit and the Rate of Victimization in an Entrepreneurial Community</w:t>
      </w:r>
      <w:r w:rsidR="004C519B" w:rsidRPr="00657BA2">
        <w:rPr>
          <w:rFonts w:ascii="Times New Roman" w:hAnsi="Times New Roman" w:cs="Times New Roman"/>
          <w:sz w:val="22"/>
          <w:szCs w:val="22"/>
        </w:rPr>
        <w:t>, “Sociology Study”;</w:t>
      </w:r>
      <w:r w:rsidR="00202E7C" w:rsidRPr="00657BA2">
        <w:rPr>
          <w:rFonts w:ascii="Times New Roman" w:hAnsi="Times New Roman" w:cs="Times New Roman"/>
          <w:sz w:val="22"/>
          <w:szCs w:val="22"/>
        </w:rPr>
        <w:t xml:space="preserve"> </w:t>
      </w:r>
      <w:r w:rsidRPr="00657BA2">
        <w:rPr>
          <w:rFonts w:ascii="Times New Roman" w:hAnsi="Times New Roman" w:cs="Times New Roman"/>
          <w:sz w:val="22"/>
          <w:szCs w:val="22"/>
        </w:rPr>
        <w:t xml:space="preserve">(2016), (eds with A. La Spina), </w:t>
      </w:r>
      <w:r w:rsidRPr="00657BA2">
        <w:rPr>
          <w:rFonts w:ascii="Times New Roman" w:hAnsi="Times New Roman" w:cs="Times New Roman"/>
          <w:i/>
          <w:sz w:val="22"/>
          <w:szCs w:val="22"/>
        </w:rPr>
        <w:t>The Costs of Illegality: Mafia-Type Organisations and Extortion, the Case of Campania</w:t>
      </w:r>
      <w:r w:rsidRPr="00657BA2">
        <w:rPr>
          <w:rFonts w:ascii="Times New Roman" w:hAnsi="Times New Roman" w:cs="Times New Roman"/>
          <w:sz w:val="22"/>
          <w:szCs w:val="22"/>
        </w:rPr>
        <w:t xml:space="preserve">, “Global Crime”; (2015), (a cura di), </w:t>
      </w:r>
      <w:r w:rsidRPr="00657BA2">
        <w:rPr>
          <w:rFonts w:ascii="Times New Roman" w:hAnsi="Times New Roman" w:cs="Times New Roman"/>
          <w:i/>
          <w:sz w:val="22"/>
          <w:szCs w:val="22"/>
        </w:rPr>
        <w:t>L'usura in Campania. Un ricorso differenziato al credito illegale ma un uguale esito di avvelenamento dell'economia regionale</w:t>
      </w:r>
      <w:r w:rsidRPr="00657BA2">
        <w:rPr>
          <w:rFonts w:ascii="Times New Roman" w:hAnsi="Times New Roman" w:cs="Times New Roman"/>
          <w:sz w:val="22"/>
          <w:szCs w:val="22"/>
        </w:rPr>
        <w:t xml:space="preserve">, Rubbettino; (2015), (a cura di), </w:t>
      </w:r>
      <w:r w:rsidRPr="00657BA2">
        <w:rPr>
          <w:rFonts w:ascii="Times New Roman" w:hAnsi="Times New Roman" w:cs="Times New Roman"/>
          <w:i/>
          <w:sz w:val="22"/>
          <w:szCs w:val="22"/>
        </w:rPr>
        <w:t>Le estorsioni in Campania. Il controllo dello spazio sociale tra violenza e consenso</w:t>
      </w:r>
      <w:r w:rsidRPr="00657BA2">
        <w:rPr>
          <w:rFonts w:ascii="Times New Roman" w:hAnsi="Times New Roman" w:cs="Times New Roman"/>
          <w:sz w:val="22"/>
          <w:szCs w:val="22"/>
        </w:rPr>
        <w:t xml:space="preserve">, Rubbettino; </w:t>
      </w:r>
      <w:r w:rsidR="00202E7C" w:rsidRPr="00657BA2">
        <w:rPr>
          <w:rFonts w:ascii="Times New Roman" w:hAnsi="Times New Roman" w:cs="Times New Roman"/>
          <w:sz w:val="22"/>
          <w:szCs w:val="22"/>
        </w:rPr>
        <w:t xml:space="preserve">(2017), </w:t>
      </w:r>
      <w:r w:rsidR="004C519B" w:rsidRPr="00657BA2">
        <w:rPr>
          <w:rFonts w:ascii="Times New Roman" w:hAnsi="Times New Roman" w:cs="Times New Roman"/>
          <w:sz w:val="22"/>
          <w:szCs w:val="22"/>
        </w:rPr>
        <w:t>G. Di Gennaro e A. Procaccini,</w:t>
      </w:r>
      <w:r w:rsidR="004C519B" w:rsidRPr="00657BA2">
        <w:rPr>
          <w:rFonts w:ascii="Times New Roman" w:hAnsi="Times New Roman" w:cs="Times New Roman"/>
          <w:i/>
          <w:sz w:val="22"/>
          <w:szCs w:val="22"/>
        </w:rPr>
        <w:t xml:space="preserve"> Il Giubileo della misericordia tra integrazione e accoglie</w:t>
      </w:r>
      <w:r w:rsidR="004C519B" w:rsidRPr="00657BA2">
        <w:rPr>
          <w:rFonts w:ascii="Times New Roman" w:hAnsi="Times New Roman" w:cs="Times New Roman"/>
          <w:i/>
          <w:sz w:val="22"/>
          <w:szCs w:val="22"/>
        </w:rPr>
        <w:t>n</w:t>
      </w:r>
      <w:r w:rsidR="004C519B" w:rsidRPr="00657BA2">
        <w:rPr>
          <w:rFonts w:ascii="Times New Roman" w:hAnsi="Times New Roman" w:cs="Times New Roman"/>
          <w:i/>
          <w:sz w:val="22"/>
          <w:szCs w:val="22"/>
        </w:rPr>
        <w:t>za degli immigrati</w:t>
      </w:r>
      <w:r w:rsidR="004C519B" w:rsidRPr="00657BA2">
        <w:rPr>
          <w:rFonts w:ascii="Times New Roman" w:hAnsi="Times New Roman" w:cs="Times New Roman"/>
          <w:sz w:val="22"/>
          <w:szCs w:val="22"/>
        </w:rPr>
        <w:t xml:space="preserve">, in R. Memoli e A. Sannella (a cura di), </w:t>
      </w:r>
      <w:r w:rsidR="004C519B" w:rsidRPr="00657BA2">
        <w:rPr>
          <w:rFonts w:ascii="Times New Roman" w:hAnsi="Times New Roman" w:cs="Times New Roman"/>
          <w:i/>
          <w:sz w:val="22"/>
          <w:szCs w:val="22"/>
        </w:rPr>
        <w:t>Pellegrini de</w:t>
      </w:r>
      <w:r w:rsidR="004C519B" w:rsidRPr="00657BA2">
        <w:rPr>
          <w:rFonts w:ascii="Times New Roman" w:hAnsi="Times New Roman" w:cs="Times New Roman"/>
          <w:i/>
          <w:color w:val="222222"/>
          <w:sz w:val="22"/>
          <w:szCs w:val="22"/>
          <w:shd w:val="clear" w:color="auto" w:fill="FFFFFF"/>
        </w:rPr>
        <w:t>l Giubileo della Misericordia: l’indagine quantitativa</w:t>
      </w:r>
      <w:r w:rsidR="004C519B" w:rsidRPr="00657BA2">
        <w:rPr>
          <w:rFonts w:ascii="Times New Roman" w:hAnsi="Times New Roman" w:cs="Times New Roman"/>
          <w:color w:val="222222"/>
          <w:sz w:val="22"/>
          <w:szCs w:val="22"/>
          <w:shd w:val="clear" w:color="auto" w:fill="FFFFFF"/>
        </w:rPr>
        <w:t>, pp. 91- 130, FrancoAngeli, Milano</w:t>
      </w:r>
      <w:r w:rsidR="00202E7C" w:rsidRPr="00657BA2">
        <w:rPr>
          <w:rFonts w:ascii="Times New Roman" w:hAnsi="Times New Roman" w:cs="Times New Roman"/>
          <w:color w:val="222222"/>
          <w:sz w:val="22"/>
          <w:szCs w:val="22"/>
          <w:shd w:val="clear" w:color="auto" w:fill="FFFFFF"/>
        </w:rPr>
        <w:t xml:space="preserve">; (2018), </w:t>
      </w:r>
      <w:r w:rsidR="00202E7C" w:rsidRPr="00657BA2">
        <w:rPr>
          <w:rFonts w:ascii="Times New Roman" w:hAnsi="Times New Roman" w:cs="Times New Roman"/>
          <w:i/>
          <w:color w:val="222222"/>
          <w:sz w:val="22"/>
          <w:szCs w:val="22"/>
          <w:shd w:val="clear" w:color="auto" w:fill="FFFFFF"/>
        </w:rPr>
        <w:t>La mimetizzazione dell’attività estorsiva e i diversi tipi di autorità extralegale nei mercati legali e illegali</w:t>
      </w:r>
      <w:r w:rsidR="00202E7C" w:rsidRPr="00657BA2">
        <w:rPr>
          <w:rFonts w:ascii="Times New Roman" w:hAnsi="Times New Roman" w:cs="Times New Roman"/>
          <w:color w:val="222222"/>
          <w:sz w:val="22"/>
          <w:szCs w:val="22"/>
          <w:shd w:val="clear" w:color="auto" w:fill="FFFFFF"/>
        </w:rPr>
        <w:t>, “Moneta e Credito”, numero speciale, vol. 71, 283, pp.</w:t>
      </w:r>
      <w:r w:rsidR="00796C13" w:rsidRPr="00657BA2">
        <w:rPr>
          <w:rFonts w:ascii="Times New Roman" w:hAnsi="Times New Roman" w:cs="Times New Roman"/>
          <w:color w:val="222222"/>
          <w:sz w:val="22"/>
          <w:szCs w:val="22"/>
          <w:shd w:val="clear" w:color="auto" w:fill="FFFFFF"/>
        </w:rPr>
        <w:t xml:space="preserve"> 51-72; </w:t>
      </w:r>
      <w:r w:rsidR="00202E7C" w:rsidRPr="00657BA2">
        <w:rPr>
          <w:rFonts w:ascii="Times New Roman" w:hAnsi="Times New Roman" w:cs="Times New Roman"/>
          <w:color w:val="222222"/>
          <w:sz w:val="22"/>
          <w:szCs w:val="22"/>
          <w:shd w:val="clear" w:color="auto" w:fill="FFFFFF"/>
        </w:rPr>
        <w:t xml:space="preserve">(2019), </w:t>
      </w:r>
      <w:r w:rsidR="00202E7C" w:rsidRPr="00657BA2">
        <w:rPr>
          <w:rFonts w:ascii="Times New Roman" w:hAnsi="Times New Roman" w:cs="Times New Roman"/>
          <w:sz w:val="22"/>
          <w:szCs w:val="22"/>
        </w:rPr>
        <w:t xml:space="preserve">G. Di Gennaro, Lemma </w:t>
      </w:r>
      <w:r w:rsidR="00202E7C" w:rsidRPr="00657BA2">
        <w:rPr>
          <w:rFonts w:ascii="Times New Roman" w:hAnsi="Times New Roman" w:cs="Times New Roman"/>
          <w:i/>
          <w:sz w:val="22"/>
          <w:szCs w:val="22"/>
        </w:rPr>
        <w:t>Extortion</w:t>
      </w:r>
      <w:r w:rsidR="00202E7C" w:rsidRPr="00657BA2">
        <w:rPr>
          <w:rFonts w:ascii="Times New Roman" w:hAnsi="Times New Roman" w:cs="Times New Roman"/>
          <w:sz w:val="22"/>
          <w:szCs w:val="22"/>
        </w:rPr>
        <w:t xml:space="preserve">, in </w:t>
      </w:r>
      <w:r w:rsidR="00202E7C" w:rsidRPr="00657BA2">
        <w:rPr>
          <w:rFonts w:ascii="Times New Roman" w:hAnsi="Times New Roman" w:cs="Times New Roman"/>
          <w:i/>
          <w:sz w:val="22"/>
          <w:szCs w:val="22"/>
        </w:rPr>
        <w:t xml:space="preserve">Encyclopedia of Criminal Psychology, (eds.) </w:t>
      </w:r>
      <w:r w:rsidR="00202E7C" w:rsidRPr="00657BA2">
        <w:rPr>
          <w:rFonts w:ascii="Times New Roman" w:hAnsi="Times New Roman" w:cs="Times New Roman"/>
          <w:i/>
          <w:sz w:val="22"/>
          <w:szCs w:val="22"/>
          <w:lang w:val="en-US"/>
        </w:rPr>
        <w:t xml:space="preserve">R. D. Morgan, Sage Publications Inc., </w:t>
      </w:r>
      <w:r w:rsidR="00202E7C" w:rsidRPr="00657BA2">
        <w:rPr>
          <w:rFonts w:ascii="Times New Roman" w:hAnsi="Times New Roman" w:cs="Times New Roman"/>
          <w:color w:val="222222"/>
          <w:sz w:val="22"/>
          <w:szCs w:val="22"/>
          <w:shd w:val="clear" w:color="auto" w:fill="FFFFFF"/>
          <w:lang w:val="en-US"/>
        </w:rPr>
        <w:t>Thousand Oaks, CA.</w:t>
      </w:r>
    </w:p>
    <w:sectPr w:rsidR="00EE0D10" w:rsidRPr="00657BA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2C41"/>
    <w:rsid w:val="00202E7C"/>
    <w:rsid w:val="00263E52"/>
    <w:rsid w:val="002B1514"/>
    <w:rsid w:val="004C519B"/>
    <w:rsid w:val="00592C41"/>
    <w:rsid w:val="005D1568"/>
    <w:rsid w:val="00657BA2"/>
    <w:rsid w:val="00796C13"/>
    <w:rsid w:val="00EE0D1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151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B1514"/>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HeaderChar">
    <w:name w:val="Header Char"/>
    <w:basedOn w:val="DefaultParagraphFont"/>
    <w:link w:val="Header"/>
    <w:rsid w:val="002B1514"/>
    <w:rPr>
      <w:rFonts w:ascii="Times New Roman" w:eastAsia="Times New Roman" w:hAnsi="Times New Roman" w:cs="Times New Roman"/>
      <w:sz w:val="24"/>
      <w:szCs w:val="24"/>
      <w:lang w:eastAsia="it-IT"/>
    </w:rPr>
  </w:style>
  <w:style w:type="paragraph" w:styleId="BalloonText">
    <w:name w:val="Balloon Text"/>
    <w:basedOn w:val="Normal"/>
    <w:link w:val="BalloonTextChar"/>
    <w:uiPriority w:val="99"/>
    <w:semiHidden/>
    <w:unhideWhenUsed/>
    <w:rsid w:val="002B15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1514"/>
    <w:rPr>
      <w:rFonts w:ascii="Tahoma" w:hAnsi="Tahoma" w:cs="Tahoma"/>
      <w:sz w:val="16"/>
      <w:szCs w:val="16"/>
    </w:rPr>
  </w:style>
  <w:style w:type="paragraph" w:styleId="HTMLPreformatted">
    <w:name w:val="HTML Preformatted"/>
    <w:basedOn w:val="Normal"/>
    <w:link w:val="HTMLPreformattedChar"/>
    <w:uiPriority w:val="99"/>
    <w:unhideWhenUsed/>
    <w:rsid w:val="00657B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HTMLPreformattedChar">
    <w:name w:val="HTML Preformatted Char"/>
    <w:basedOn w:val="DefaultParagraphFont"/>
    <w:link w:val="HTMLPreformatted"/>
    <w:uiPriority w:val="99"/>
    <w:rsid w:val="00657BA2"/>
    <w:rPr>
      <w:rFonts w:ascii="Courier New" w:eastAsia="Times New Roman" w:hAnsi="Courier New" w:cs="Courier New"/>
      <w:sz w:val="20"/>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151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B1514"/>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HeaderChar">
    <w:name w:val="Header Char"/>
    <w:basedOn w:val="DefaultParagraphFont"/>
    <w:link w:val="Header"/>
    <w:rsid w:val="002B1514"/>
    <w:rPr>
      <w:rFonts w:ascii="Times New Roman" w:eastAsia="Times New Roman" w:hAnsi="Times New Roman" w:cs="Times New Roman"/>
      <w:sz w:val="24"/>
      <w:szCs w:val="24"/>
      <w:lang w:eastAsia="it-IT"/>
    </w:rPr>
  </w:style>
  <w:style w:type="paragraph" w:styleId="BalloonText">
    <w:name w:val="Balloon Text"/>
    <w:basedOn w:val="Normal"/>
    <w:link w:val="BalloonTextChar"/>
    <w:uiPriority w:val="99"/>
    <w:semiHidden/>
    <w:unhideWhenUsed/>
    <w:rsid w:val="002B15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1514"/>
    <w:rPr>
      <w:rFonts w:ascii="Tahoma" w:hAnsi="Tahoma" w:cs="Tahoma"/>
      <w:sz w:val="16"/>
      <w:szCs w:val="16"/>
    </w:rPr>
  </w:style>
  <w:style w:type="paragraph" w:styleId="HTMLPreformatted">
    <w:name w:val="HTML Preformatted"/>
    <w:basedOn w:val="Normal"/>
    <w:link w:val="HTMLPreformattedChar"/>
    <w:uiPriority w:val="99"/>
    <w:unhideWhenUsed/>
    <w:rsid w:val="00657B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HTMLPreformattedChar">
    <w:name w:val="HTML Preformatted Char"/>
    <w:basedOn w:val="DefaultParagraphFont"/>
    <w:link w:val="HTMLPreformatted"/>
    <w:uiPriority w:val="99"/>
    <w:rsid w:val="00657BA2"/>
    <w:rPr>
      <w:rFonts w:ascii="Courier New" w:eastAsia="Times New Roman" w:hAnsi="Courier New" w:cs="Courier New"/>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118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370</Words>
  <Characters>2113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dc:creator>
  <cp:keywords/>
  <dc:description/>
  <cp:lastModifiedBy>Fabio</cp:lastModifiedBy>
  <cp:revision>5</cp:revision>
  <dcterms:created xsi:type="dcterms:W3CDTF">2016-05-16T18:32:00Z</dcterms:created>
  <dcterms:modified xsi:type="dcterms:W3CDTF">2019-02-01T09:30:00Z</dcterms:modified>
</cp:coreProperties>
</file>