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8B1ED" w14:textId="19D60BD2" w:rsidR="001B5ED7" w:rsidRDefault="001B5ED7" w:rsidP="001B5ED7">
      <w:pPr>
        <w:pStyle w:val="Paragrafoelenco"/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  <w:t>Quarta Lezione</w:t>
      </w:r>
    </w:p>
    <w:p w14:paraId="2CB16C98" w14:textId="2D9FC109" w:rsidR="00831029" w:rsidRDefault="00831029" w:rsidP="001B5ED7">
      <w:pPr>
        <w:pStyle w:val="Paragrafoelenco"/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</w:p>
    <w:p w14:paraId="64BD4A7D" w14:textId="19212514" w:rsidR="00831029" w:rsidRDefault="00831029" w:rsidP="001B5ED7">
      <w:pPr>
        <w:pStyle w:val="Paragrafoelenco"/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  <w:r>
        <w:rPr>
          <w:noProof/>
        </w:rPr>
        <w:drawing>
          <wp:inline distT="0" distB="0" distL="0" distR="0" wp14:anchorId="27983FBB" wp14:editId="563AFF21">
            <wp:extent cx="5818746" cy="3916680"/>
            <wp:effectExtent l="0" t="0" r="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182" t="18595" r="18448" b="4372"/>
                    <a:stretch/>
                  </pic:blipFill>
                  <pic:spPr bwMode="auto">
                    <a:xfrm>
                      <a:off x="0" y="0"/>
                      <a:ext cx="5852694" cy="3939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C7A411" w14:textId="70035E20" w:rsidR="00831029" w:rsidRDefault="00831029" w:rsidP="00831029">
      <w:pPr>
        <w:pStyle w:val="NormaleWeb"/>
        <w:shd w:val="clear" w:color="auto" w:fill="FFFFFF"/>
        <w:rPr>
          <w:color w:val="000000"/>
        </w:rPr>
      </w:pP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4 </w:t>
      </w:r>
      <w:r>
        <w:rPr>
          <w:rStyle w:val="text"/>
          <w:rFonts w:ascii="Segoe UI" w:hAnsi="Segoe UI" w:cs="Segoe UI"/>
          <w:color w:val="000000"/>
        </w:rPr>
        <w:t>Dopo che Giovanni fu arrestato, Gesù si recò nella Galilea predicando il vangelo di Dio e diceva:</w:t>
      </w:r>
      <w:r>
        <w:rPr>
          <w:rFonts w:ascii="Segoe UI" w:hAnsi="Segoe UI" w:cs="Segoe UI"/>
          <w:color w:val="000000"/>
        </w:rPr>
        <w:t> </w:t>
      </w: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15 </w:t>
      </w:r>
      <w:r>
        <w:rPr>
          <w:rStyle w:val="text"/>
          <w:rFonts w:ascii="Segoe UI" w:hAnsi="Segoe UI" w:cs="Segoe UI"/>
          <w:color w:val="000000"/>
        </w:rPr>
        <w:t>«Il tempo è compiuto e il regno di Dio è vicino; convertitevi e credete al vangelo».</w:t>
      </w: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16 </w:t>
      </w:r>
      <w:r>
        <w:rPr>
          <w:rStyle w:val="text"/>
          <w:rFonts w:ascii="Segoe UI" w:hAnsi="Segoe UI" w:cs="Segoe UI"/>
          <w:color w:val="000000"/>
        </w:rPr>
        <w:t>Passando lungo il mare della Galilea, vide Simone e Andrea, fratello di Simone, mentre gettavano le reti in mare; erano infatti pescatori.</w:t>
      </w:r>
      <w:r>
        <w:rPr>
          <w:rFonts w:ascii="Segoe UI" w:hAnsi="Segoe UI" w:cs="Segoe UI"/>
          <w:color w:val="000000"/>
        </w:rPr>
        <w:t> </w:t>
      </w: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17 </w:t>
      </w:r>
      <w:r>
        <w:rPr>
          <w:rStyle w:val="text"/>
          <w:rFonts w:ascii="Segoe UI" w:hAnsi="Segoe UI" w:cs="Segoe UI"/>
          <w:color w:val="000000"/>
        </w:rPr>
        <w:t>Gesù disse loro: «Seguitemi, vi farò diventare pescatori di uomini».</w:t>
      </w:r>
      <w:r>
        <w:rPr>
          <w:rFonts w:ascii="Segoe UI" w:hAnsi="Segoe UI" w:cs="Segoe UI"/>
          <w:color w:val="000000"/>
        </w:rPr>
        <w:t> </w:t>
      </w: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18 </w:t>
      </w:r>
      <w:r>
        <w:rPr>
          <w:rStyle w:val="text"/>
          <w:rFonts w:ascii="Segoe UI" w:hAnsi="Segoe UI" w:cs="Segoe UI"/>
          <w:color w:val="000000"/>
        </w:rPr>
        <w:t>E subito, lasciate le reti, lo seguirono.</w:t>
      </w:r>
      <w:r>
        <w:rPr>
          <w:rFonts w:ascii="Segoe UI" w:hAnsi="Segoe UI" w:cs="Segoe UI"/>
          <w:color w:val="000000"/>
        </w:rPr>
        <w:t> </w:t>
      </w: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19 </w:t>
      </w:r>
      <w:r>
        <w:rPr>
          <w:rStyle w:val="text"/>
          <w:rFonts w:ascii="Segoe UI" w:hAnsi="Segoe UI" w:cs="Segoe UI"/>
          <w:color w:val="000000"/>
        </w:rPr>
        <w:t xml:space="preserve">Andando un poco oltre, vide sulla barca anche Giacomo di </w:t>
      </w:r>
      <w:proofErr w:type="spellStart"/>
      <w:r>
        <w:rPr>
          <w:rStyle w:val="text"/>
          <w:rFonts w:ascii="Segoe UI" w:hAnsi="Segoe UI" w:cs="Segoe UI"/>
          <w:color w:val="000000"/>
        </w:rPr>
        <w:t>Zebedèo</w:t>
      </w:r>
      <w:proofErr w:type="spellEnd"/>
      <w:r>
        <w:rPr>
          <w:rStyle w:val="text"/>
          <w:rFonts w:ascii="Segoe UI" w:hAnsi="Segoe UI" w:cs="Segoe UI"/>
          <w:color w:val="000000"/>
        </w:rPr>
        <w:t xml:space="preserve"> e Giovanni suo fratello mentre riassettavano le reti.</w:t>
      </w:r>
      <w:r>
        <w:rPr>
          <w:rFonts w:ascii="Segoe UI" w:hAnsi="Segoe UI" w:cs="Segoe UI"/>
          <w:color w:val="000000"/>
        </w:rPr>
        <w:t> </w:t>
      </w:r>
      <w:r>
        <w:rPr>
          <w:rStyle w:val="text"/>
          <w:rFonts w:ascii="Segoe UI" w:hAnsi="Segoe UI" w:cs="Segoe UI"/>
          <w:b/>
          <w:bCs/>
          <w:color w:val="000000"/>
          <w:vertAlign w:val="superscript"/>
        </w:rPr>
        <w:t>20 </w:t>
      </w:r>
      <w:r>
        <w:rPr>
          <w:rStyle w:val="text"/>
          <w:rFonts w:ascii="Segoe UI" w:hAnsi="Segoe UI" w:cs="Segoe UI"/>
          <w:color w:val="000000"/>
        </w:rPr>
        <w:t xml:space="preserve">Li chiamò. Ed essi, lasciato il loro padre </w:t>
      </w:r>
      <w:proofErr w:type="spellStart"/>
      <w:r>
        <w:rPr>
          <w:rStyle w:val="text"/>
          <w:rFonts w:ascii="Segoe UI" w:hAnsi="Segoe UI" w:cs="Segoe UI"/>
          <w:color w:val="000000"/>
        </w:rPr>
        <w:t>Zebedèo</w:t>
      </w:r>
      <w:proofErr w:type="spellEnd"/>
      <w:r>
        <w:rPr>
          <w:rStyle w:val="text"/>
          <w:rFonts w:ascii="Segoe UI" w:hAnsi="Segoe UI" w:cs="Segoe UI"/>
          <w:color w:val="000000"/>
        </w:rPr>
        <w:t xml:space="preserve"> sulla barca con i garzoni, lo seguirono.</w:t>
      </w:r>
    </w:p>
    <w:p w14:paraId="5C208EEE" w14:textId="4D61B006" w:rsidR="00831029" w:rsidRDefault="0083102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br w:type="page"/>
      </w:r>
    </w:p>
    <w:p w14:paraId="49202FA1" w14:textId="77777777" w:rsidR="00831029" w:rsidRDefault="0083102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noProof/>
        </w:rPr>
        <w:lastRenderedPageBreak/>
        <w:drawing>
          <wp:inline distT="0" distB="0" distL="0" distR="0" wp14:anchorId="4E5F743B" wp14:editId="25E2B2F7">
            <wp:extent cx="4299857" cy="2584450"/>
            <wp:effectExtent l="0" t="0" r="5715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986" t="18818" r="12733" b="6079"/>
                    <a:stretch/>
                  </pic:blipFill>
                  <pic:spPr bwMode="auto">
                    <a:xfrm>
                      <a:off x="0" y="0"/>
                      <a:ext cx="4301253" cy="2585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A1526E" w14:textId="77777777" w:rsidR="00831029" w:rsidRPr="00116FD6" w:rsidRDefault="0083102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PRONOME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 w:eastAsia="it-IT"/>
        </w:rPr>
        <w:t>ΑΥΤΟΣ</w:t>
      </w:r>
    </w:p>
    <w:p w14:paraId="37AAAAA0" w14:textId="06813DFD" w:rsidR="00831029" w:rsidRDefault="0083102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Come il pronome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 w:eastAsia="it-IT"/>
        </w:rPr>
        <w:t>αὐτός</w:t>
      </w:r>
      <w:r w:rsidRPr="0083102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si declina il pronome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 w:eastAsia="it-IT"/>
        </w:rPr>
        <w:t>ἐκεῖνος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br w:type="page"/>
      </w:r>
    </w:p>
    <w:p w14:paraId="77B9A9AB" w14:textId="77777777" w:rsidR="00831029" w:rsidRDefault="0083102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7D652A4" w14:textId="77777777" w:rsidR="00CB09B6" w:rsidRDefault="00CB09B6" w:rsidP="00CB09B6">
      <w:pPr>
        <w:pStyle w:val="Paragrafoelenco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81831D3" w14:textId="77777777" w:rsidR="00CB09B6" w:rsidRPr="00CB09B6" w:rsidRDefault="00CB09B6" w:rsidP="00CB09B6">
      <w:pPr>
        <w:pStyle w:val="Paragrafoelenco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EFCEE00" w14:textId="52E124C0" w:rsidR="000D4B5B" w:rsidRPr="007C11E7" w:rsidRDefault="00182E0E" w:rsidP="008009FB">
      <w:pPr>
        <w:pStyle w:val="Paragrafoelenco"/>
        <w:numPr>
          <w:ilvl w:val="0"/>
          <w:numId w:val="2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 w:rsidRPr="007C11E7"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 xml:space="preserve">Esercizio </w:t>
      </w:r>
    </w:p>
    <w:p w14:paraId="084346C7" w14:textId="77777777" w:rsidR="00D315B6" w:rsidRPr="00D65FF5" w:rsidRDefault="00D46387" w:rsidP="00D65FF5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 xml:space="preserve">Leggere a voce </w:t>
      </w:r>
      <w:r w:rsidR="008E6ADC"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alta</w:t>
      </w:r>
    </w:p>
    <w:p w14:paraId="17FF036E" w14:textId="77777777" w:rsidR="00602A8E" w:rsidRDefault="00D65FF5" w:rsidP="00D46387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Individua</w:t>
      </w:r>
      <w:r w:rsidR="00182E0E"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re</w:t>
      </w: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 xml:space="preserve"> gli articoli e </w:t>
      </w:r>
      <w:r w:rsidR="00182E0E"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i pronomi conosciuti; indica il caso e il numero in cui si trovano</w:t>
      </w:r>
    </w:p>
    <w:p w14:paraId="2D336336" w14:textId="77777777" w:rsidR="00D74302" w:rsidRPr="008E6ADC" w:rsidRDefault="00182E0E" w:rsidP="00D46387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C00000"/>
          <w:sz w:val="27"/>
          <w:szCs w:val="27"/>
          <w:lang w:eastAsia="it-IT"/>
        </w:rPr>
      </w:pPr>
      <w:r w:rsidRPr="008E6ADC">
        <w:rPr>
          <w:rFonts w:ascii="Palatino Linotype" w:eastAsia="Times New Roman" w:hAnsi="Palatino Linotype" w:cs="Times New Roman"/>
          <w:color w:val="C00000"/>
          <w:sz w:val="27"/>
          <w:szCs w:val="27"/>
          <w:lang w:eastAsia="it-IT"/>
        </w:rPr>
        <w:t>Analizza le voci verbali in rosso</w:t>
      </w:r>
      <w:r w:rsidR="008E6ADC" w:rsidRPr="008E6ADC">
        <w:rPr>
          <w:rFonts w:ascii="Palatino Linotype" w:eastAsia="Times New Roman" w:hAnsi="Palatino Linotype" w:cs="Times New Roman"/>
          <w:color w:val="C00000"/>
          <w:sz w:val="27"/>
          <w:szCs w:val="27"/>
          <w:lang w:eastAsia="it-IT"/>
        </w:rPr>
        <w:t xml:space="preserve"> indicando la persona e il verbo nella I persona singolare.</w:t>
      </w:r>
    </w:p>
    <w:p w14:paraId="2771D6B3" w14:textId="77777777" w:rsidR="008E6ADC" w:rsidRDefault="008E6ADC" w:rsidP="00D46387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70C0"/>
          <w:sz w:val="27"/>
          <w:szCs w:val="27"/>
          <w:lang w:eastAsia="it-IT"/>
        </w:rPr>
      </w:pPr>
      <w:r w:rsidRPr="008E6ADC">
        <w:rPr>
          <w:rFonts w:ascii="Palatino Linotype" w:eastAsia="Times New Roman" w:hAnsi="Palatino Linotype" w:cs="Times New Roman"/>
          <w:color w:val="0070C0"/>
          <w:sz w:val="27"/>
          <w:szCs w:val="27"/>
          <w:lang w:eastAsia="it-IT"/>
        </w:rPr>
        <w:t>Indica il caso, il genere e il numero delle parole in blu</w:t>
      </w:r>
    </w:p>
    <w:p w14:paraId="554660D3" w14:textId="77777777" w:rsidR="0054537C" w:rsidRPr="008E6ADC" w:rsidRDefault="0054537C" w:rsidP="0054537C">
      <w:pPr>
        <w:pStyle w:val="Paragrafoelenco"/>
        <w:rPr>
          <w:rFonts w:ascii="Palatino Linotype" w:eastAsia="Times New Roman" w:hAnsi="Palatino Linotype" w:cs="Times New Roman"/>
          <w:color w:val="0070C0"/>
          <w:sz w:val="27"/>
          <w:szCs w:val="27"/>
          <w:lang w:eastAsia="it-IT"/>
        </w:rPr>
      </w:pPr>
    </w:p>
    <w:p w14:paraId="07FD69A7" w14:textId="77777777" w:rsidR="0054537C" w:rsidRDefault="00D65FF5" w:rsidP="0054537C">
      <w:pPr>
        <w:tabs>
          <w:tab w:val="left" w:pos="4210"/>
        </w:tabs>
        <w:spacing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</w:pP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Ἐν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3A3A6A">
        <w:rPr>
          <w:rFonts w:ascii="Times New Roman" w:eastAsia="Times New Roman" w:hAnsi="Times New Roman" w:cs="Times New Roman"/>
          <w:color w:val="0070C0"/>
          <w:sz w:val="28"/>
          <w:szCs w:val="28"/>
          <w:highlight w:val="cyan"/>
          <w:lang w:eastAsia="it-IT"/>
        </w:rPr>
        <w:t>ἐκείν</w:t>
      </w:r>
      <w:proofErr w:type="spellEnd"/>
      <w:r w:rsidRPr="003A3A6A">
        <w:rPr>
          <w:rFonts w:ascii="Times New Roman" w:eastAsia="Times New Roman" w:hAnsi="Times New Roman" w:cs="Times New Roman"/>
          <w:color w:val="0070C0"/>
          <w:sz w:val="28"/>
          <w:szCs w:val="28"/>
          <w:highlight w:val="cyan"/>
          <w:lang w:eastAsia="it-IT"/>
        </w:rPr>
        <w:t>αις</w:t>
      </w:r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τα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ῖς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ἡμέρ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αις </w:t>
      </w: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π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άλιν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π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ολλοῦ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ὄχλου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ὄντος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καὶ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μὴ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ἐχόντων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τί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φάγωσιν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, π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ροσκ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αλεσάμενος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τοὺς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μα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θητὰς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λέγει</w:t>
      </w:r>
      <w:proofErr w:type="spellEnd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 xml:space="preserve"> </w:t>
      </w:r>
      <w:r w:rsidRPr="002F0037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α</w:t>
      </w:r>
      <w:proofErr w:type="spellStart"/>
      <w:r w:rsidRPr="002F0037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ὐτοῖς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: </w:t>
      </w:r>
    </w:p>
    <w:p w14:paraId="1FCAEDD5" w14:textId="77777777" w:rsidR="0054537C" w:rsidRDefault="0054537C" w:rsidP="0054537C">
      <w:pPr>
        <w:tabs>
          <w:tab w:val="left" w:pos="4210"/>
        </w:tabs>
        <w:spacing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</w:pPr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Σπλα</w:t>
      </w:r>
      <w:proofErr w:type="spellStart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γχνίζομ</w:t>
      </w:r>
      <w:proofErr w:type="spellEnd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 xml:space="preserve">αι </w:t>
      </w: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ἐπὶ </w:t>
      </w:r>
      <w:proofErr w:type="spellStart"/>
      <w:r w:rsidRPr="00B07B36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τὸν</w:t>
      </w:r>
      <w:proofErr w:type="spellEnd"/>
      <w:r w:rsidRPr="00B07B36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B07B36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ὄχλον</w:t>
      </w:r>
      <w:proofErr w:type="spellEnd"/>
      <w:r w:rsidRPr="00B07B36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ὅτι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ἤδη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ἡμέρ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αι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τρεῖς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π</w:t>
      </w:r>
      <w:proofErr w:type="spellStart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ροσμένουσίν</w:t>
      </w:r>
      <w:proofErr w:type="spellEnd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μοι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καὶ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οὐκ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ἔχουσιν</w:t>
      </w:r>
      <w:proofErr w:type="spellEnd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τί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φάγωσιν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: καὶ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ἐὰν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ἀπ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ολύσω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r w:rsidRPr="002F0037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α</w:t>
      </w:r>
      <w:proofErr w:type="spellStart"/>
      <w:r w:rsidRPr="002F0037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ὐτοὺς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νήστεις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εἰς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οἶκον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r w:rsidRPr="00691DFF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α</w:t>
      </w:r>
      <w:proofErr w:type="spellStart"/>
      <w:r w:rsidRPr="00691DFF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ὐτῶν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,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ἐκλυθήσοντ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αι </w:t>
      </w:r>
      <w:proofErr w:type="spellStart"/>
      <w:r w:rsidRPr="00B07B36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ἐν</w:t>
      </w:r>
      <w:proofErr w:type="spellEnd"/>
      <w:r w:rsidRPr="00B07B36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B07B36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τῇ</w:t>
      </w:r>
      <w:proofErr w:type="spellEnd"/>
      <w:r w:rsidRPr="00B07B36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B07B36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ὁδῷ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: καί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τινες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r w:rsidRPr="002F0037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α</w:t>
      </w:r>
      <w:proofErr w:type="spellStart"/>
      <w:r w:rsidRPr="002F0037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ὐτῶν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ἀπὸ μα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κρόθεν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ἥκ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ασιν. </w:t>
      </w:r>
    </w:p>
    <w:p w14:paraId="4712C6C4" w14:textId="77777777" w:rsidR="0054537C" w:rsidRDefault="0054537C" w:rsidP="0054537C">
      <w:pPr>
        <w:tabs>
          <w:tab w:val="left" w:pos="4210"/>
        </w:tabs>
        <w:spacing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</w:pP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καὶ ἀπ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εκρ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ίθησ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αν </w:t>
      </w:r>
      <w:r w:rsidRPr="002F0037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α</w:t>
      </w:r>
      <w:proofErr w:type="spellStart"/>
      <w:r w:rsidRPr="002F0037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ὐτῷ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οἱ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μα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θητ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αὶ </w:t>
      </w:r>
      <w:r w:rsidRPr="00691DFF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α</w:t>
      </w:r>
      <w:proofErr w:type="spellStart"/>
      <w:r w:rsidRPr="00691DFF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ὐτοῦ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:</w:t>
      </w: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Πόθεν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τούτους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δυνήσετ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αί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τις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ὧδε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χορτάσ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αι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ἄρτων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ἐπ'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ἐρημί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ας;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</w:p>
    <w:p w14:paraId="3660247F" w14:textId="2ECFD1D7" w:rsidR="00182E0E" w:rsidRDefault="00D65FF5" w:rsidP="0054537C">
      <w:pPr>
        <w:tabs>
          <w:tab w:val="left" w:pos="4210"/>
        </w:tabs>
        <w:spacing w:line="276" w:lineRule="auto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</w:pP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καὶ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ἠρώτ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 </w:t>
      </w:r>
      <w:r w:rsidRPr="002F0037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α</w:t>
      </w:r>
      <w:proofErr w:type="spellStart"/>
      <w:r w:rsidRPr="002F0037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ὐτούς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,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Πόσους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ἔχετε</w:t>
      </w:r>
      <w:proofErr w:type="spellEnd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ἄρτους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;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οἱ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δὲ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εἶ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παν, Ἑπ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τά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. καὶ </w:t>
      </w:r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παρα</w:t>
      </w:r>
      <w:proofErr w:type="spellStart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>γγέλλει</w:t>
      </w:r>
      <w:proofErr w:type="spellEnd"/>
      <w:r w:rsidRPr="0054537C">
        <w:rPr>
          <w:rFonts w:ascii="Times New Roman" w:eastAsia="Times New Roman" w:hAnsi="Times New Roman" w:cs="Times New Roman"/>
          <w:color w:val="FF000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τῷ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ὄχλῳ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ἀν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απεσεῖν ἐπὶ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τῆς</w:t>
      </w:r>
      <w:proofErr w:type="spellEnd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  <w:t>γῆς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: καὶ λαβ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ὼν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sz w:val="28"/>
          <w:szCs w:val="28"/>
          <w:lang w:eastAsia="it-IT"/>
        </w:rPr>
        <w:t>τοὺς</w:t>
      </w:r>
      <w:proofErr w:type="spellEnd"/>
      <w:r w:rsidRPr="0054537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ἑπ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τὰ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sz w:val="28"/>
          <w:szCs w:val="28"/>
          <w:lang w:eastAsia="it-IT"/>
        </w:rPr>
        <w:t>ἄρτους</w:t>
      </w:r>
      <w:proofErr w:type="spellEnd"/>
      <w:r w:rsidRPr="0054537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εὐχ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αριστήσας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ἔκλ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ασεν καὶ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ἐδίδου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τοῖς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μα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θητ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αῖς </w:t>
      </w:r>
      <w:r w:rsidRPr="002F0037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α</w:t>
      </w:r>
      <w:proofErr w:type="spellStart"/>
      <w:r w:rsidRPr="002F0037">
        <w:rPr>
          <w:rFonts w:ascii="Times New Roman" w:eastAsia="Times New Roman" w:hAnsi="Times New Roman" w:cs="Times New Roman"/>
          <w:color w:val="333333"/>
          <w:sz w:val="28"/>
          <w:szCs w:val="28"/>
          <w:highlight w:val="yellow"/>
          <w:lang w:eastAsia="it-IT"/>
        </w:rPr>
        <w:t>ὐτοῦ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ἵν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α παρα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τιθῶσιν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καὶ πα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ρέθηκ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αν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τῷ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 xml:space="preserve"> 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ὄχλῳ</w:t>
      </w:r>
      <w:proofErr w:type="spellEnd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.</w:t>
      </w:r>
      <w:r w:rsidRPr="00D65FF5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  <w:t xml:space="preserve"> </w:t>
      </w:r>
    </w:p>
    <w:p w14:paraId="75B1E311" w14:textId="44610BB2" w:rsidR="00345273" w:rsidRDefault="00345273" w:rsidP="0054537C">
      <w:pPr>
        <w:tabs>
          <w:tab w:val="left" w:pos="4210"/>
        </w:tabs>
        <w:spacing w:line="276" w:lineRule="auto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</w:pPr>
    </w:p>
    <w:p w14:paraId="5A0A83B4" w14:textId="77777777" w:rsidR="00345273" w:rsidRPr="0054537C" w:rsidRDefault="00345273" w:rsidP="0054537C">
      <w:pPr>
        <w:tabs>
          <w:tab w:val="left" w:pos="4210"/>
        </w:tabs>
        <w:spacing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</w:pPr>
    </w:p>
    <w:p w14:paraId="2164E711" w14:textId="77777777" w:rsidR="008E6ADC" w:rsidRDefault="008E6ADC">
      <w:pPr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  <w:br w:type="page"/>
      </w:r>
    </w:p>
    <w:p w14:paraId="3701433B" w14:textId="77777777" w:rsidR="0054537C" w:rsidRPr="0054537C" w:rsidRDefault="0054537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</w:pPr>
      <w:r w:rsidRPr="005453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  <w:lastRenderedPageBreak/>
        <w:t>Mc 8</w:t>
      </w:r>
      <w:r w:rsidR="008E6ADC" w:rsidRPr="005453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  <w:t>,</w:t>
      </w:r>
      <w:r w:rsidRPr="005453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  <w:t>1-6</w:t>
      </w:r>
    </w:p>
    <w:p w14:paraId="467CEFEC" w14:textId="4697EB3E" w:rsidR="0054537C" w:rsidRDefault="0054537C">
      <w:pPr>
        <w:rPr>
          <w:color w:val="000000"/>
          <w:sz w:val="27"/>
          <w:szCs w:val="27"/>
        </w:rPr>
      </w:pPr>
      <w:r w:rsidRPr="0054537C">
        <w:rPr>
          <w:color w:val="00B0F0"/>
          <w:sz w:val="27"/>
          <w:szCs w:val="27"/>
        </w:rPr>
        <w:t>In quei giorni</w:t>
      </w:r>
      <w:r>
        <w:rPr>
          <w:color w:val="000000"/>
          <w:sz w:val="27"/>
          <w:szCs w:val="27"/>
        </w:rPr>
        <w:t xml:space="preserve">, essendoci di nuovo </w:t>
      </w:r>
      <w:r w:rsidRPr="0054537C">
        <w:rPr>
          <w:color w:val="00B0F0"/>
          <w:sz w:val="27"/>
          <w:szCs w:val="27"/>
        </w:rPr>
        <w:t xml:space="preserve">molta folla </w:t>
      </w:r>
      <w:r>
        <w:rPr>
          <w:color w:val="000000"/>
          <w:sz w:val="27"/>
          <w:szCs w:val="27"/>
        </w:rPr>
        <w:t xml:space="preserve">che non aveva da mangiare, chiamò a sé i discepoli e </w:t>
      </w:r>
      <w:r w:rsidRPr="0054537C">
        <w:rPr>
          <w:color w:val="FF0000"/>
          <w:sz w:val="27"/>
          <w:szCs w:val="27"/>
        </w:rPr>
        <w:t xml:space="preserve">disse </w:t>
      </w:r>
      <w:r>
        <w:rPr>
          <w:color w:val="000000"/>
          <w:sz w:val="27"/>
          <w:szCs w:val="27"/>
        </w:rPr>
        <w:t xml:space="preserve">loro: «Sento compassione </w:t>
      </w:r>
      <w:r w:rsidRPr="0054537C">
        <w:rPr>
          <w:color w:val="00B0F0"/>
          <w:sz w:val="27"/>
          <w:szCs w:val="27"/>
        </w:rPr>
        <w:t>di questa folla</w:t>
      </w:r>
      <w:r>
        <w:rPr>
          <w:color w:val="000000"/>
          <w:sz w:val="27"/>
          <w:szCs w:val="27"/>
        </w:rPr>
        <w:t xml:space="preserve">, perché già da tre giorni mi </w:t>
      </w:r>
      <w:r w:rsidRPr="0054537C">
        <w:rPr>
          <w:color w:val="FF0000"/>
          <w:sz w:val="27"/>
          <w:szCs w:val="27"/>
        </w:rPr>
        <w:t xml:space="preserve">stanno dietro </w:t>
      </w:r>
      <w:r>
        <w:rPr>
          <w:color w:val="000000"/>
          <w:sz w:val="27"/>
          <w:szCs w:val="27"/>
        </w:rPr>
        <w:t xml:space="preserve">e non </w:t>
      </w:r>
      <w:r w:rsidRPr="0054537C">
        <w:rPr>
          <w:color w:val="FF0000"/>
          <w:sz w:val="27"/>
          <w:szCs w:val="27"/>
        </w:rPr>
        <w:t>hanno</w:t>
      </w:r>
      <w:r>
        <w:rPr>
          <w:color w:val="000000"/>
          <w:sz w:val="27"/>
          <w:szCs w:val="27"/>
        </w:rPr>
        <w:t xml:space="preserve"> da mangiare. </w:t>
      </w:r>
      <w:r>
        <w:rPr>
          <w:rStyle w:val="Enfasigrassetto"/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> Se li rimando digiuni alle proprie case, verranno meno per via; e alcuni di loro vengono di lontano». </w:t>
      </w:r>
      <w:r>
        <w:rPr>
          <w:rStyle w:val="Enfasigrassetto"/>
          <w:color w:val="000000"/>
          <w:sz w:val="27"/>
          <w:szCs w:val="27"/>
        </w:rPr>
        <w:t>4</w:t>
      </w:r>
      <w:r>
        <w:rPr>
          <w:color w:val="000000"/>
          <w:sz w:val="27"/>
          <w:szCs w:val="27"/>
        </w:rPr>
        <w:t> Gli risposero i discepoli: «E come si potrebbe sfamarli di pane qui, in un deserto?». </w:t>
      </w:r>
      <w:r>
        <w:rPr>
          <w:rStyle w:val="Enfasigrassetto"/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> E domandò loro: «</w:t>
      </w:r>
      <w:r w:rsidRPr="0054537C">
        <w:rPr>
          <w:color w:val="00B0F0"/>
          <w:sz w:val="27"/>
          <w:szCs w:val="27"/>
        </w:rPr>
        <w:t xml:space="preserve">Quanti pani </w:t>
      </w:r>
      <w:r w:rsidRPr="0054537C">
        <w:rPr>
          <w:color w:val="FF0000"/>
          <w:sz w:val="27"/>
          <w:szCs w:val="27"/>
        </w:rPr>
        <w:t>avete</w:t>
      </w:r>
      <w:r>
        <w:rPr>
          <w:color w:val="000000"/>
          <w:sz w:val="27"/>
          <w:szCs w:val="27"/>
        </w:rPr>
        <w:t xml:space="preserve">?». Gli </w:t>
      </w:r>
      <w:r w:rsidRPr="0054537C">
        <w:rPr>
          <w:color w:val="FF0000"/>
          <w:sz w:val="27"/>
          <w:szCs w:val="27"/>
        </w:rPr>
        <w:t>dissero</w:t>
      </w:r>
      <w:r>
        <w:rPr>
          <w:color w:val="000000"/>
          <w:sz w:val="27"/>
          <w:szCs w:val="27"/>
        </w:rPr>
        <w:t>: «Sette». </w:t>
      </w:r>
      <w:r>
        <w:rPr>
          <w:rStyle w:val="Enfasigrassetto"/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 Gesù ordinò </w:t>
      </w:r>
      <w:r w:rsidRPr="0054537C">
        <w:rPr>
          <w:color w:val="00B0F0"/>
          <w:sz w:val="27"/>
          <w:szCs w:val="27"/>
        </w:rPr>
        <w:t xml:space="preserve">alla folla </w:t>
      </w:r>
      <w:r>
        <w:rPr>
          <w:color w:val="000000"/>
          <w:sz w:val="27"/>
          <w:szCs w:val="27"/>
        </w:rPr>
        <w:t xml:space="preserve">di sedersi </w:t>
      </w:r>
      <w:r w:rsidRPr="0054537C">
        <w:rPr>
          <w:color w:val="00B0F0"/>
          <w:sz w:val="27"/>
          <w:szCs w:val="27"/>
        </w:rPr>
        <w:t>per terra</w:t>
      </w:r>
      <w:r>
        <w:rPr>
          <w:color w:val="000000"/>
          <w:sz w:val="27"/>
          <w:szCs w:val="27"/>
        </w:rPr>
        <w:t>. Presi allora quei sette pani, rese grazie, li spezzò e li diede ai discepoli perché li distribuissero; ed essi li distribuirono alla folla.</w:t>
      </w:r>
    </w:p>
    <w:p w14:paraId="420D0122" w14:textId="77777777" w:rsidR="0054537C" w:rsidRDefault="0054537C">
      <w:pPr>
        <w:rPr>
          <w:color w:val="000000"/>
          <w:sz w:val="27"/>
          <w:szCs w:val="27"/>
        </w:rPr>
      </w:pPr>
    </w:p>
    <w:p w14:paraId="07F14B5F" w14:textId="77777777" w:rsidR="00092F29" w:rsidRDefault="00092F29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 w:type="page"/>
      </w:r>
    </w:p>
    <w:p w14:paraId="4EE54311" w14:textId="77777777" w:rsidR="00092F29" w:rsidRPr="00092F29" w:rsidRDefault="00092F29">
      <w:pPr>
        <w:rPr>
          <w:b/>
          <w:color w:val="000000"/>
          <w:sz w:val="27"/>
          <w:szCs w:val="27"/>
        </w:rPr>
      </w:pPr>
      <w:r w:rsidRPr="00092F29">
        <w:rPr>
          <w:b/>
          <w:color w:val="000000"/>
          <w:sz w:val="27"/>
          <w:szCs w:val="27"/>
          <w:highlight w:val="yellow"/>
        </w:rPr>
        <w:lastRenderedPageBreak/>
        <w:t>Nuovo Argomento: completamento della I declinazione</w:t>
      </w:r>
    </w:p>
    <w:p w14:paraId="4C4ACEEC" w14:textId="77777777" w:rsidR="00092F29" w:rsidRPr="00092F29" w:rsidRDefault="00092F29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Nomi maschili della I declinazione.</w:t>
      </w:r>
      <w:r w:rsidRPr="00092F29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Si differenziano dai nomi femminili per due casi a) nominativo singolare terminante in sigma; b) il genitivo singolare con desinenza in </w:t>
      </w:r>
      <w:proofErr w:type="spellStart"/>
      <w:r w:rsidRPr="00092F29">
        <w:rPr>
          <w:rFonts w:ascii="inherit" w:eastAsia="Times New Roman" w:hAnsi="inherit" w:cs="Arial"/>
          <w:color w:val="222222"/>
          <w:sz w:val="24"/>
          <w:szCs w:val="24"/>
          <w:lang w:eastAsia="it-IT"/>
        </w:rPr>
        <w:t>ου</w:t>
      </w:r>
      <w:proofErr w:type="spellEnd"/>
    </w:p>
    <w:p w14:paraId="6CF11537" w14:textId="77777777" w:rsidR="00092F29" w:rsidRPr="00092F29" w:rsidRDefault="00092F29" w:rsidP="00092F2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092F29">
        <w:rPr>
          <w:rFonts w:ascii="Arial" w:eastAsia="Times New Roman" w:hAnsi="Arial" w:cs="Arial"/>
          <w:color w:val="222222"/>
          <w:sz w:val="21"/>
          <w:szCs w:val="21"/>
          <w:lang w:eastAsia="it-IT"/>
        </w:rPr>
        <w:t> </w:t>
      </w:r>
      <w:r w:rsidRPr="00092F29"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Declinazione dei maschili in alfa </w:t>
      </w:r>
      <w:r w:rsidRPr="00092F29">
        <w:rPr>
          <w:rFonts w:ascii="inherit" w:eastAsia="Times New Roman" w:hAnsi="inherit" w:cs="Arial"/>
          <w:b/>
          <w:bCs/>
          <w:iCs/>
          <w:color w:val="222222"/>
          <w:sz w:val="21"/>
          <w:szCs w:val="21"/>
          <w:lang w:eastAsia="it-IT"/>
        </w:rPr>
        <w:t>τα</w:t>
      </w:r>
      <w:proofErr w:type="spellStart"/>
      <w:r w:rsidRPr="00092F29">
        <w:rPr>
          <w:rFonts w:ascii="inherit" w:eastAsia="Times New Roman" w:hAnsi="inherit" w:cs="Arial"/>
          <w:b/>
          <w:bCs/>
          <w:iCs/>
          <w:color w:val="222222"/>
          <w:sz w:val="21"/>
          <w:szCs w:val="21"/>
          <w:lang w:eastAsia="it-IT"/>
        </w:rPr>
        <w:t>μί</w:t>
      </w:r>
      <w:proofErr w:type="spellEnd"/>
      <w:r w:rsidRPr="00092F29">
        <w:rPr>
          <w:rFonts w:ascii="inherit" w:eastAsia="Times New Roman" w:hAnsi="inherit" w:cs="Arial"/>
          <w:b/>
          <w:bCs/>
          <w:iCs/>
          <w:color w:val="222222"/>
          <w:sz w:val="21"/>
          <w:szCs w:val="21"/>
          <w:lang w:eastAsia="it-IT"/>
        </w:rPr>
        <w:t>ας</w:t>
      </w:r>
      <w:r w:rsidRPr="00092F29"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, "tesoriere"</w:t>
      </w:r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 xml:space="preserve"> (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cf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 xml:space="preserve"> nel testo precedente</w:t>
      </w:r>
    </w:p>
    <w:tbl>
      <w:tblPr>
        <w:tblW w:w="0" w:type="auto"/>
        <w:tblBorders>
          <w:top w:val="single" w:sz="6" w:space="0" w:color="A2A9B1"/>
          <w:left w:val="single" w:sz="6" w:space="0" w:color="A2A9B1"/>
          <w:bottom w:val="single" w:sz="6" w:space="0" w:color="A2A9B1"/>
          <w:right w:val="single" w:sz="6" w:space="0" w:color="A2A9B1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2"/>
        <w:gridCol w:w="1111"/>
        <w:gridCol w:w="1187"/>
      </w:tblGrid>
      <w:tr w:rsidR="00092F29" w:rsidRPr="00092F29" w14:paraId="758F3837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7C7C4E1" w14:textId="77777777" w:rsidR="00092F29" w:rsidRPr="00092F29" w:rsidRDefault="00092F29" w:rsidP="00092F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5D8ED24" w14:textId="77777777" w:rsidR="00092F29" w:rsidRPr="00092F29" w:rsidRDefault="00092F29" w:rsidP="00092F2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it-IT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E0E4C3B" w14:textId="77777777" w:rsidR="00092F29" w:rsidRPr="00092F29" w:rsidRDefault="00092F29" w:rsidP="00092F2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it-IT"/>
              </w:rPr>
              <w:t>Plurale</w:t>
            </w:r>
          </w:p>
        </w:tc>
      </w:tr>
      <w:tr w:rsidR="00092F29" w:rsidRPr="00092F29" w14:paraId="45E3920D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26C8C72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i/>
                <w:iCs/>
                <w:color w:val="222222"/>
                <w:sz w:val="21"/>
                <w:szCs w:val="21"/>
                <w:lang w:eastAsia="it-IT"/>
              </w:rPr>
              <w:t>Nominativo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954ABA2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ὁ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μίᾱς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04944DC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οἱ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αι</w:t>
            </w:r>
          </w:p>
        </w:tc>
      </w:tr>
      <w:tr w:rsidR="00092F29" w:rsidRPr="00092F29" w14:paraId="5E1C40B0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666C661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i/>
                <w:iCs/>
                <w:color w:val="222222"/>
                <w:sz w:val="21"/>
                <w:szCs w:val="21"/>
                <w:lang w:eastAsia="it-IT"/>
              </w:rPr>
              <w:t>Genitivo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FD53FEB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τοῦ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μίου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301FB8D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τῶν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μιῶν</w:t>
            </w:r>
            <w:proofErr w:type="spellEnd"/>
          </w:p>
        </w:tc>
      </w:tr>
      <w:tr w:rsidR="00092F29" w:rsidRPr="00092F29" w14:paraId="66000711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EA926D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i/>
                <w:iCs/>
                <w:color w:val="222222"/>
                <w:sz w:val="21"/>
                <w:szCs w:val="21"/>
                <w:lang w:eastAsia="it-IT"/>
              </w:rPr>
              <w:t>Dativo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E004E6B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τῷ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μίᾳ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7CCD2B38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τοῖς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αις</w:t>
            </w:r>
          </w:p>
        </w:tc>
      </w:tr>
      <w:tr w:rsidR="00092F29" w:rsidRPr="00092F29" w14:paraId="7D64B2BD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A1BFD9B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i/>
                <w:iCs/>
                <w:color w:val="222222"/>
                <w:sz w:val="21"/>
                <w:szCs w:val="21"/>
                <w:lang w:eastAsia="it-IT"/>
              </w:rPr>
              <w:t>Accusativo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EDCE267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τὸν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μίᾱν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AE63AA5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τoὺς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 xml:space="preserve">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μίᾱς</w:t>
            </w:r>
            <w:proofErr w:type="spellEnd"/>
          </w:p>
        </w:tc>
      </w:tr>
      <w:tr w:rsidR="00092F29" w:rsidRPr="00092F29" w14:paraId="442B13B5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B2A04F5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i/>
                <w:iCs/>
                <w:color w:val="222222"/>
                <w:sz w:val="21"/>
                <w:szCs w:val="21"/>
                <w:lang w:eastAsia="it-IT"/>
              </w:rPr>
              <w:t>Vocativo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60CEE11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ὦ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μίᾱ</w:t>
            </w:r>
            <w:proofErr w:type="spellEnd"/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915CB75" w14:textId="77777777" w:rsidR="00092F29" w:rsidRPr="00092F29" w:rsidRDefault="00092F29" w:rsidP="00092F2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ὦ τα</w:t>
            </w:r>
            <w:proofErr w:type="spellStart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μί</w:t>
            </w:r>
            <w:proofErr w:type="spellEnd"/>
            <w:r w:rsidRPr="00092F29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  <w:lang w:eastAsia="it-IT"/>
              </w:rPr>
              <w:t>αι</w:t>
            </w:r>
          </w:p>
        </w:tc>
      </w:tr>
    </w:tbl>
    <w:p w14:paraId="439FD62E" w14:textId="77777777" w:rsidR="00092F29" w:rsidRPr="00092F29" w:rsidRDefault="00092F29" w:rsidP="00092F2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it-IT"/>
        </w:rPr>
      </w:pPr>
      <w:r w:rsidRPr="00092F29"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 xml:space="preserve">Declinazione dei maschili in 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eta</w:t>
      </w:r>
      <w:proofErr w:type="spellEnd"/>
      <w:r w:rsidRPr="00092F29"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: </w:t>
      </w:r>
      <w:r w:rsidRPr="00092F29">
        <w:rPr>
          <w:rFonts w:ascii="inherit" w:eastAsia="Times New Roman" w:hAnsi="inherit" w:cs="Arial"/>
          <w:b/>
          <w:bCs/>
          <w:iCs/>
          <w:color w:val="222222"/>
          <w:sz w:val="21"/>
          <w:szCs w:val="21"/>
          <w:lang w:eastAsia="it-IT"/>
        </w:rPr>
        <w:t>σα</w:t>
      </w:r>
      <w:proofErr w:type="spellStart"/>
      <w:r w:rsidRPr="00092F29">
        <w:rPr>
          <w:rFonts w:ascii="inherit" w:eastAsia="Times New Roman" w:hAnsi="inherit" w:cs="Arial"/>
          <w:b/>
          <w:bCs/>
          <w:iCs/>
          <w:color w:val="222222"/>
          <w:sz w:val="21"/>
          <w:szCs w:val="21"/>
          <w:lang w:eastAsia="it-IT"/>
        </w:rPr>
        <w:t>τρά</w:t>
      </w:r>
      <w:proofErr w:type="spellEnd"/>
      <w:r w:rsidRPr="00092F29">
        <w:rPr>
          <w:rFonts w:ascii="inherit" w:eastAsia="Times New Roman" w:hAnsi="inherit" w:cs="Arial"/>
          <w:b/>
          <w:bCs/>
          <w:iCs/>
          <w:color w:val="222222"/>
          <w:sz w:val="21"/>
          <w:szCs w:val="21"/>
          <w:lang w:eastAsia="it-IT"/>
        </w:rPr>
        <w:t>πης</w:t>
      </w:r>
      <w:r w:rsidRPr="00092F29"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 "</w:t>
      </w:r>
      <w:hyperlink r:id="rId9" w:tooltip="Satrapo" w:history="1">
        <w:r w:rsidRPr="00092F29">
          <w:rPr>
            <w:rFonts w:ascii="Arial" w:eastAsia="Times New Roman" w:hAnsi="Arial" w:cs="Arial"/>
            <w:b/>
            <w:bCs/>
            <w:i/>
            <w:iCs/>
            <w:color w:val="0B0080"/>
            <w:sz w:val="21"/>
            <w:szCs w:val="21"/>
            <w:lang w:eastAsia="it-IT"/>
          </w:rPr>
          <w:t>satrapo</w:t>
        </w:r>
      </w:hyperlink>
      <w:r w:rsidRPr="00092F29"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"</w:t>
      </w:r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 xml:space="preserve"> (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>cf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 xml:space="preserve"> nel testo precedente </w:t>
      </w:r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μα</w:t>
      </w:r>
      <w:proofErr w:type="spellStart"/>
      <w:r w:rsidRPr="0054537C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θητ</w:t>
      </w:r>
      <w:r w:rsidRPr="00092F29"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ής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it-IT"/>
        </w:rPr>
        <w:t>)</w:t>
      </w:r>
      <w:r>
        <w:rPr>
          <w:rFonts w:ascii="Arial" w:eastAsia="Times New Roman" w:hAnsi="Arial" w:cs="Arial"/>
          <w:b/>
          <w:bCs/>
          <w:i/>
          <w:iCs/>
          <w:color w:val="222222"/>
          <w:sz w:val="21"/>
          <w:szCs w:val="21"/>
          <w:lang w:eastAsia="it-IT"/>
        </w:rPr>
        <w:t xml:space="preserve"> </w:t>
      </w:r>
    </w:p>
    <w:tbl>
      <w:tblPr>
        <w:tblW w:w="0" w:type="auto"/>
        <w:tblBorders>
          <w:top w:val="single" w:sz="6" w:space="0" w:color="A2A9B1"/>
          <w:left w:val="single" w:sz="6" w:space="0" w:color="A2A9B1"/>
          <w:bottom w:val="single" w:sz="6" w:space="0" w:color="A2A9B1"/>
          <w:right w:val="single" w:sz="6" w:space="0" w:color="A2A9B1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3"/>
        <w:gridCol w:w="1376"/>
        <w:gridCol w:w="1452"/>
      </w:tblGrid>
      <w:tr w:rsidR="00092F29" w:rsidRPr="00092F29" w14:paraId="2EE2E281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5E86ADD" w14:textId="77777777" w:rsidR="00092F29" w:rsidRPr="00092F29" w:rsidRDefault="00092F29" w:rsidP="00092F2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589D6B" w14:textId="77777777" w:rsidR="00092F29" w:rsidRPr="00092F29" w:rsidRDefault="00092F29" w:rsidP="00092F29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it-IT"/>
              </w:rPr>
              <w:t>Singolare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29BD263" w14:textId="77777777" w:rsidR="00092F29" w:rsidRPr="00092F29" w:rsidRDefault="00092F29" w:rsidP="00092F29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b/>
                <w:bCs/>
                <w:color w:val="222222"/>
                <w:sz w:val="21"/>
                <w:szCs w:val="21"/>
                <w:lang w:eastAsia="it-IT"/>
              </w:rPr>
              <w:t>Plurale</w:t>
            </w:r>
          </w:p>
        </w:tc>
      </w:tr>
      <w:tr w:rsidR="00092F29" w:rsidRPr="00092F29" w14:paraId="5BEF7A8D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1182DBB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i/>
                <w:iCs/>
                <w:color w:val="222222"/>
                <w:sz w:val="21"/>
                <w:szCs w:val="21"/>
                <w:lang w:eastAsia="it-IT"/>
              </w:rPr>
              <w:t>Nominativo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79F38A0" w14:textId="43786702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ὁ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πης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24C15DD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οἱ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παι</w:t>
            </w:r>
          </w:p>
        </w:tc>
      </w:tr>
      <w:tr w:rsidR="00092F29" w:rsidRPr="00092F29" w14:paraId="3934F346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D3D6711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i/>
                <w:iCs/>
                <w:color w:val="222222"/>
                <w:sz w:val="21"/>
                <w:szCs w:val="21"/>
                <w:lang w:eastAsia="it-IT"/>
              </w:rPr>
              <w:t>Genitivo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7A7A39D" w14:textId="7D1487AC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τοῦ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που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53C667F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τῶν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απῶν</w:t>
            </w:r>
          </w:p>
        </w:tc>
      </w:tr>
      <w:tr w:rsidR="00092F29" w:rsidRPr="00092F29" w14:paraId="30FED409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F6595CD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i/>
                <w:iCs/>
                <w:color w:val="222222"/>
                <w:sz w:val="21"/>
                <w:szCs w:val="21"/>
                <w:lang w:eastAsia="it-IT"/>
              </w:rPr>
              <w:t>Dativo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730BD5A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τῷ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πῃ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3DD0467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τοῖς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παις</w:t>
            </w:r>
          </w:p>
        </w:tc>
      </w:tr>
      <w:tr w:rsidR="00092F29" w:rsidRPr="00092F29" w14:paraId="76B21FC1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B193755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i/>
                <w:iCs/>
                <w:color w:val="222222"/>
                <w:sz w:val="21"/>
                <w:szCs w:val="21"/>
                <w:lang w:eastAsia="it-IT"/>
              </w:rPr>
              <w:t>Accusativo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16C9E74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τὸν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πην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F07BB88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τοὺς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 xml:space="preserve">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πᾱς</w:t>
            </w:r>
          </w:p>
        </w:tc>
      </w:tr>
      <w:tr w:rsidR="00092F29" w:rsidRPr="00092F29" w14:paraId="42BF3141" w14:textId="77777777" w:rsidTr="00092F29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A7916AA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Arial" w:eastAsia="Times New Roman" w:hAnsi="Arial" w:cs="Arial"/>
                <w:i/>
                <w:iCs/>
                <w:color w:val="222222"/>
                <w:sz w:val="21"/>
                <w:szCs w:val="21"/>
                <w:lang w:eastAsia="it-IT"/>
              </w:rPr>
              <w:t>Vocativo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26752CD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ὦ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πη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0E02A2F" w14:textId="77777777" w:rsidR="00092F29" w:rsidRPr="00092F29" w:rsidRDefault="00092F29" w:rsidP="00092F29">
            <w:pPr>
              <w:spacing w:before="240" w:after="240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it-IT"/>
              </w:rPr>
            </w:pPr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ὦ σα</w:t>
            </w:r>
            <w:proofErr w:type="spellStart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τρά</w:t>
            </w:r>
            <w:proofErr w:type="spellEnd"/>
            <w:r w:rsidRPr="00092F29">
              <w:rPr>
                <w:rFonts w:ascii="inherit" w:eastAsia="Times New Roman" w:hAnsi="inherit" w:cs="Arial"/>
                <w:color w:val="222222"/>
                <w:sz w:val="21"/>
                <w:szCs w:val="21"/>
                <w:lang w:eastAsia="it-IT"/>
              </w:rPr>
              <w:t>παι</w:t>
            </w:r>
          </w:p>
        </w:tc>
      </w:tr>
    </w:tbl>
    <w:p w14:paraId="3BD175D6" w14:textId="77777777" w:rsidR="00092F29" w:rsidRDefault="00092F29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092F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Esercizio: nel testo precedente (Mc 8,1-6) individua in quali casi è usato il termine </w:t>
      </w:r>
      <w:r w:rsidRPr="00092F29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μα</w:t>
      </w:r>
      <w:proofErr w:type="spellStart"/>
      <w:r w:rsidRPr="00092F29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θητής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:</w:t>
      </w:r>
    </w:p>
    <w:p w14:paraId="6DA269CE" w14:textId="77777777" w:rsidR="00092F29" w:rsidRDefault="00092F29" w:rsidP="00092F29">
      <w:pPr>
        <w:pStyle w:val="Paragrafoelenco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__________________________________________</w:t>
      </w:r>
    </w:p>
    <w:p w14:paraId="0AC20697" w14:textId="77777777" w:rsidR="00092F29" w:rsidRDefault="00092F29" w:rsidP="00092F29">
      <w:pPr>
        <w:pStyle w:val="Paragrafoelenco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__________________________________________</w:t>
      </w:r>
    </w:p>
    <w:p w14:paraId="508380FB" w14:textId="77777777" w:rsidR="008E6ADC" w:rsidRPr="00092F29" w:rsidRDefault="00092F29" w:rsidP="00092F29">
      <w:pPr>
        <w:pStyle w:val="Paragrafoelenco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___________________________________________</w:t>
      </w:r>
      <w:r w:rsidR="008E6ADC" w:rsidRPr="00092F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br w:type="page"/>
      </w:r>
    </w:p>
    <w:p w14:paraId="5FF80AE1" w14:textId="77777777" w:rsidR="008C633B" w:rsidRPr="00B178E1" w:rsidRDefault="00092F29" w:rsidP="001A1CE7">
      <w:pPr>
        <w:tabs>
          <w:tab w:val="left" w:pos="4210"/>
        </w:tabs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it-IT"/>
        </w:rPr>
      </w:pPr>
      <w:r w:rsidRPr="00B178E1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it-IT"/>
        </w:rPr>
        <w:lastRenderedPageBreak/>
        <w:t>Nuovo Argomento</w:t>
      </w:r>
      <w:r w:rsidR="00B178E1" w:rsidRPr="00B178E1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it-IT"/>
        </w:rPr>
        <w:t>.</w:t>
      </w:r>
    </w:p>
    <w:p w14:paraId="49C63094" w14:textId="77777777" w:rsidR="00B178E1" w:rsidRDefault="00B178E1" w:rsidP="00B178E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B178E1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it-IT"/>
        </w:rPr>
        <w:t>Uso dell’articolo in funzione di pronome dimostrativo</w:t>
      </w:r>
    </w:p>
    <w:p w14:paraId="53428B9C" w14:textId="77777777" w:rsidR="00B178E1" w:rsidRPr="00254B3D" w:rsidRDefault="00B178E1" w:rsidP="00B178E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 completamento de</w:t>
      </w:r>
      <w:r w:rsidR="00254B3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lla lezione dedicata all’uso del pronome </w:t>
      </w:r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α</w:t>
      </w:r>
      <w:proofErr w:type="spellStart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ὐτ</w:t>
      </w:r>
      <w:proofErr w:type="spellEnd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val="el-GR" w:eastAsia="it-IT"/>
        </w:rPr>
        <w:t>ός</w:t>
      </w:r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, è necessario sapere che in NT ricorre ad un altro modo di esprimere il pronome dimostrativo </w:t>
      </w:r>
      <w:r w:rsidR="00254B3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it-IT"/>
        </w:rPr>
        <w:t>quello</w:t>
      </w:r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/pronome personale di terza </w:t>
      </w:r>
      <w:r w:rsidR="00254B3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it-IT"/>
        </w:rPr>
        <w:t>egli-essi</w:t>
      </w:r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. Il greco infatti prevede che l’articolo (in qualunque caso, genere, numero) usato assolutamente (cioè senza alcun sostantivo a cui si accompagna) seguito dalla particella </w:t>
      </w:r>
      <w:proofErr w:type="spellStart"/>
      <w:r w:rsidR="00254B3D" w:rsidRPr="00B178E1">
        <w:rPr>
          <w:rFonts w:ascii="Times New Roman" w:eastAsia="Times New Roman" w:hAnsi="Times New Roman" w:cs="Times New Roman"/>
          <w:color w:val="C00000"/>
          <w:sz w:val="24"/>
          <w:szCs w:val="24"/>
          <w:lang w:eastAsia="it-IT"/>
        </w:rPr>
        <w:t>δὲ</w:t>
      </w:r>
      <w:proofErr w:type="spellEnd"/>
      <w:r w:rsidR="00254B3D">
        <w:rPr>
          <w:rFonts w:ascii="Times New Roman" w:eastAsia="Times New Roman" w:hAnsi="Times New Roman" w:cs="Times New Roman"/>
          <w:color w:val="C00000"/>
          <w:sz w:val="24"/>
          <w:szCs w:val="24"/>
          <w:lang w:eastAsia="it-IT"/>
        </w:rPr>
        <w:t xml:space="preserve"> </w:t>
      </w:r>
      <w:r w:rsidR="00254B3D">
        <w:rPr>
          <w:rFonts w:ascii="Times New Roman" w:eastAsia="Times New Roman" w:hAnsi="Times New Roman" w:cs="Times New Roman"/>
          <w:sz w:val="24"/>
          <w:szCs w:val="24"/>
          <w:lang w:eastAsia="it-IT"/>
        </w:rPr>
        <w:t>assuma</w:t>
      </w:r>
      <w:r w:rsidR="00254B3D" w:rsidRPr="00254B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valore di pronome dimostrativo/personale</w:t>
      </w:r>
    </w:p>
    <w:p w14:paraId="3AF2C473" w14:textId="77777777" w:rsidR="00B178E1" w:rsidRPr="00B178E1" w:rsidRDefault="00B178E1" w:rsidP="00B178E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B178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Mc 8</w:t>
      </w:r>
    </w:p>
    <w:p w14:paraId="0E675562" w14:textId="77777777" w:rsidR="00B178E1" w:rsidRPr="00B178E1" w:rsidRDefault="00B178E1" w:rsidP="00B178E1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proofErr w:type="spellStart"/>
      <w:r w:rsidRPr="00254B3D">
        <w:rPr>
          <w:rFonts w:ascii="Times New Roman" w:eastAsia="Times New Roman" w:hAnsi="Times New Roman" w:cs="Times New Roman"/>
          <w:color w:val="C00000"/>
          <w:sz w:val="24"/>
          <w:szCs w:val="24"/>
          <w:highlight w:val="yellow"/>
          <w:lang w:eastAsia="it-IT"/>
        </w:rPr>
        <w:t>οἱ</w:t>
      </w:r>
      <w:proofErr w:type="spellEnd"/>
      <w:r w:rsidRPr="00254B3D">
        <w:rPr>
          <w:rFonts w:ascii="Times New Roman" w:eastAsia="Times New Roman" w:hAnsi="Times New Roman" w:cs="Times New Roman"/>
          <w:color w:val="C00000"/>
          <w:sz w:val="24"/>
          <w:szCs w:val="24"/>
          <w:highlight w:val="yellow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C00000"/>
          <w:sz w:val="24"/>
          <w:szCs w:val="24"/>
          <w:highlight w:val="yellow"/>
          <w:lang w:eastAsia="it-IT"/>
        </w:rPr>
        <w:t>δὲ</w:t>
      </w:r>
      <w:proofErr w:type="spellEnd"/>
      <w:r w:rsidRPr="00B178E1">
        <w:rPr>
          <w:rFonts w:ascii="Times New Roman" w:eastAsia="Times New Roman" w:hAnsi="Times New Roman" w:cs="Times New Roman"/>
          <w:color w:val="C00000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εἶ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παν α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ὐτῷ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λέγοντες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[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ὅτι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]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Ἰωάννην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τὸν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βαπ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τιστήν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, καὶ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ἄλλοι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,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Ἠλί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αν,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ἄλλοι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δὲ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ὅτι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εἷς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τῶν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π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ροφητῶν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. </w:t>
      </w:r>
    </w:p>
    <w:p w14:paraId="2D434FC5" w14:textId="77777777" w:rsidR="00B178E1" w:rsidRPr="00B178E1" w:rsidRDefault="00B178E1" w:rsidP="00B178E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B178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Trad.: </w:t>
      </w:r>
      <w:r w:rsidRPr="00254B3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[</w:t>
      </w:r>
      <w:r w:rsidRPr="00254B3D">
        <w:rPr>
          <w:rFonts w:ascii="Book Antiqua" w:hAnsi="Book Antiqua"/>
          <w:sz w:val="24"/>
          <w:szCs w:val="24"/>
        </w:rPr>
        <w:t xml:space="preserve">Poi Gesù partì con i suoi discepoli verso i villaggi intorno a </w:t>
      </w:r>
      <w:proofErr w:type="spellStart"/>
      <w:r w:rsidRPr="00254B3D">
        <w:rPr>
          <w:rFonts w:ascii="Book Antiqua" w:hAnsi="Book Antiqua"/>
          <w:sz w:val="24"/>
          <w:szCs w:val="24"/>
        </w:rPr>
        <w:t>Cesarèa</w:t>
      </w:r>
      <w:proofErr w:type="spellEnd"/>
      <w:r w:rsidRPr="00254B3D">
        <w:rPr>
          <w:rFonts w:ascii="Book Antiqua" w:hAnsi="Book Antiqua"/>
          <w:sz w:val="24"/>
          <w:szCs w:val="24"/>
        </w:rPr>
        <w:t xml:space="preserve"> di Filippo; e per via interrogava i suoi discepoli dicendo: «Chi dice la gente che io sia?».</w:t>
      </w:r>
      <w:r w:rsidRPr="00254B3D">
        <w:rPr>
          <w:rFonts w:ascii="Book Antiqua" w:hAnsi="Book Antiqua"/>
          <w:b/>
          <w:bCs/>
          <w:sz w:val="24"/>
          <w:szCs w:val="24"/>
        </w:rPr>
        <w:t>]</w:t>
      </w:r>
      <w:r w:rsidRPr="00254B3D">
        <w:rPr>
          <w:rFonts w:ascii="Book Antiqua" w:hAnsi="Book Antiqua"/>
          <w:color w:val="FF0000"/>
          <w:sz w:val="24"/>
          <w:szCs w:val="24"/>
          <w:highlight w:val="yellow"/>
        </w:rPr>
        <w:t>Ed essi</w:t>
      </w:r>
      <w:r w:rsidRPr="00254B3D">
        <w:rPr>
          <w:rFonts w:ascii="Book Antiqua" w:hAnsi="Book Antiqua"/>
          <w:color w:val="FF0000"/>
          <w:sz w:val="24"/>
          <w:szCs w:val="24"/>
        </w:rPr>
        <w:t xml:space="preserve"> </w:t>
      </w:r>
      <w:r w:rsidRPr="00254B3D">
        <w:rPr>
          <w:rFonts w:ascii="Book Antiqua" w:hAnsi="Book Antiqua"/>
          <w:sz w:val="24"/>
          <w:szCs w:val="24"/>
        </w:rPr>
        <w:t>gli risposero: «Giovanni il Battista, altri poi Elia e altri uno dei profeti». </w:t>
      </w:r>
    </w:p>
    <w:p w14:paraId="0A57F0C4" w14:textId="77777777" w:rsidR="00B178E1" w:rsidRPr="00B178E1" w:rsidRDefault="00B178E1" w:rsidP="00B178E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14:paraId="6ABC4B85" w14:textId="77777777" w:rsidR="00B178E1" w:rsidRPr="00B178E1" w:rsidRDefault="00B178E1" w:rsidP="00B178E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… </w:t>
      </w:r>
      <w:r w:rsidRPr="00254B3D">
        <w:rPr>
          <w:rFonts w:ascii="Times New Roman" w:eastAsia="Times New Roman" w:hAnsi="Times New Roman" w:cs="Times New Roman"/>
          <w:color w:val="C00000"/>
          <w:sz w:val="24"/>
          <w:szCs w:val="24"/>
          <w:highlight w:val="yellow"/>
          <w:lang w:eastAsia="it-IT"/>
        </w:rPr>
        <w:t xml:space="preserve">ὁ </w:t>
      </w:r>
      <w:proofErr w:type="spellStart"/>
      <w:r w:rsidRPr="00254B3D">
        <w:rPr>
          <w:rFonts w:ascii="Times New Roman" w:eastAsia="Times New Roman" w:hAnsi="Times New Roman" w:cs="Times New Roman"/>
          <w:color w:val="C00000"/>
          <w:sz w:val="24"/>
          <w:szCs w:val="24"/>
          <w:highlight w:val="yellow"/>
          <w:lang w:eastAsia="it-IT"/>
        </w:rPr>
        <w:t>δὲ</w:t>
      </w:r>
      <w:proofErr w:type="spellEnd"/>
      <w:r w:rsidRPr="00B178E1">
        <w:rPr>
          <w:rFonts w:ascii="Times New Roman" w:eastAsia="Times New Roman" w:hAnsi="Times New Roman" w:cs="Times New Roman"/>
          <w:color w:val="C00000"/>
          <w:sz w:val="24"/>
          <w:szCs w:val="24"/>
          <w:lang w:eastAsia="it-IT"/>
        </w:rPr>
        <w:t xml:space="preserve"> </w:t>
      </w:r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ἐπ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ιστρ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αφεὶς καὶ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ἰδὼν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τοὺς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μα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θητὰς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α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ὐ</w:t>
      </w:r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τοῦ</w:t>
      </w:r>
      <w:proofErr w:type="spellEnd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ἐπ</w:t>
      </w:r>
      <w:proofErr w:type="spellStart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ετίμησεν</w:t>
      </w:r>
      <w:proofErr w:type="spellEnd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Πέτρῳ</w:t>
      </w:r>
      <w:proofErr w:type="spellEnd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καὶ </w:t>
      </w:r>
      <w:proofErr w:type="spellStart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λέγει</w:t>
      </w:r>
      <w:proofErr w:type="spellEnd"/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:</w:t>
      </w:r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Υπα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γε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ὀπ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ίσω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μου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, Σατα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νᾶ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,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ὅτι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οὐ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φρονεῖς</w:t>
      </w:r>
      <w:proofErr w:type="spellEnd"/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00B0F0"/>
          <w:sz w:val="24"/>
          <w:szCs w:val="24"/>
          <w:u w:val="single"/>
          <w:lang w:eastAsia="it-IT"/>
        </w:rPr>
        <w:t>τὰ</w:t>
      </w:r>
      <w:proofErr w:type="spellEnd"/>
      <w:r w:rsidRPr="00254B3D">
        <w:rPr>
          <w:rFonts w:ascii="Times New Roman" w:eastAsia="Times New Roman" w:hAnsi="Times New Roman" w:cs="Times New Roman"/>
          <w:color w:val="00B0F0"/>
          <w:sz w:val="24"/>
          <w:szCs w:val="24"/>
          <w:u w:val="single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τοῦ</w:t>
      </w:r>
      <w:proofErr w:type="spellEnd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θεοῦ</w:t>
      </w:r>
      <w:proofErr w:type="spellEnd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ἀλλὰ</w:t>
      </w:r>
      <w:proofErr w:type="spellEnd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00B0F0"/>
          <w:sz w:val="24"/>
          <w:szCs w:val="24"/>
          <w:u w:val="single"/>
          <w:lang w:eastAsia="it-IT"/>
        </w:rPr>
        <w:t>τὰ</w:t>
      </w:r>
      <w:proofErr w:type="spellEnd"/>
      <w:r w:rsidRPr="00254B3D">
        <w:rPr>
          <w:rFonts w:ascii="Times New Roman" w:eastAsia="Times New Roman" w:hAnsi="Times New Roman" w:cs="Times New Roman"/>
          <w:color w:val="00B0F0"/>
          <w:sz w:val="24"/>
          <w:szCs w:val="24"/>
          <w:u w:val="single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τῶν</w:t>
      </w:r>
      <w:proofErr w:type="spellEnd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 xml:space="preserve"> </w:t>
      </w:r>
      <w:proofErr w:type="spellStart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ἀνθρώ</w:t>
      </w:r>
      <w:proofErr w:type="spellEnd"/>
      <w:r w:rsidRP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πων</w:t>
      </w:r>
      <w:r w:rsidR="00254B3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*</w:t>
      </w:r>
      <w:r w:rsidRPr="00B178E1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.</w:t>
      </w:r>
    </w:p>
    <w:p w14:paraId="54AA0F9F" w14:textId="77777777" w:rsidR="00182E0E" w:rsidRPr="00254B3D" w:rsidRDefault="00B178E1" w:rsidP="00B178E1">
      <w:pPr>
        <w:tabs>
          <w:tab w:val="left" w:pos="4210"/>
        </w:tabs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54B3D">
        <w:rPr>
          <w:rFonts w:ascii="Book Antiqua" w:hAnsi="Book Antiqua"/>
          <w:sz w:val="24"/>
          <w:szCs w:val="24"/>
        </w:rPr>
        <w:t xml:space="preserve">Ma egli, voltatosi e guardando i discepoli, rimproverò Pietro e gli disse: «Lungi da me, satana! Perché tu non pensi </w:t>
      </w:r>
      <w:r w:rsidRPr="00254B3D">
        <w:rPr>
          <w:rFonts w:ascii="Book Antiqua" w:hAnsi="Book Antiqua"/>
          <w:sz w:val="24"/>
          <w:szCs w:val="24"/>
          <w:u w:val="single"/>
        </w:rPr>
        <w:t>secondo Dio, ma secondo gli uomini</w:t>
      </w:r>
      <w:r w:rsidRPr="00254B3D">
        <w:rPr>
          <w:rFonts w:ascii="Book Antiqua" w:hAnsi="Book Antiqua"/>
          <w:sz w:val="24"/>
          <w:szCs w:val="24"/>
        </w:rPr>
        <w:t>»</w:t>
      </w:r>
      <w:r w:rsidR="00254B3D">
        <w:rPr>
          <w:rFonts w:ascii="Book Antiqua" w:hAnsi="Book Antiqua"/>
          <w:sz w:val="24"/>
          <w:szCs w:val="24"/>
        </w:rPr>
        <w:t xml:space="preserve"> (</w:t>
      </w:r>
      <w:r w:rsidR="00254B3D" w:rsidRPr="00254B3D">
        <w:rPr>
          <w:rFonts w:ascii="Book Antiqua" w:hAnsi="Book Antiqua"/>
          <w:sz w:val="24"/>
          <w:szCs w:val="24"/>
        </w:rPr>
        <w:t>letteralmente: non pensi le cose di Dio, ma le cose degli uomini</w:t>
      </w:r>
      <w:r w:rsidR="00254B3D">
        <w:rPr>
          <w:rFonts w:ascii="Book Antiqua" w:hAnsi="Book Antiqua"/>
          <w:sz w:val="24"/>
          <w:szCs w:val="24"/>
        </w:rPr>
        <w:t>)*</w:t>
      </w:r>
    </w:p>
    <w:p w14:paraId="1B262C98" w14:textId="77777777" w:rsidR="00182E0E" w:rsidRPr="00CB09B6" w:rsidRDefault="00254B3D" w:rsidP="001A1CE7">
      <w:pPr>
        <w:tabs>
          <w:tab w:val="left" w:pos="4210"/>
        </w:tabs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54B3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*: osservare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l’uso dell’articolo </w:t>
      </w:r>
      <w:proofErr w:type="spellStart"/>
      <w:r w:rsidRPr="00254B3D">
        <w:rPr>
          <w:rFonts w:ascii="Times New Roman" w:eastAsia="Times New Roman" w:hAnsi="Times New Roman" w:cs="Times New Roman"/>
          <w:color w:val="00B0F0"/>
          <w:sz w:val="24"/>
          <w:szCs w:val="24"/>
          <w:lang w:eastAsia="it-IT"/>
        </w:rPr>
        <w:t>τὰ</w:t>
      </w:r>
      <w:proofErr w:type="spellEnd"/>
      <w:r w:rsidRPr="00254B3D">
        <w:rPr>
          <w:rFonts w:ascii="Times New Roman" w:eastAsia="Times New Roman" w:hAnsi="Times New Roman" w:cs="Times New Roman"/>
          <w:color w:val="00B0F0"/>
          <w:sz w:val="24"/>
          <w:szCs w:val="24"/>
          <w:lang w:eastAsia="it-IT"/>
        </w:rPr>
        <w:t>:</w:t>
      </w:r>
      <w:r>
        <w:rPr>
          <w:rFonts w:ascii="Times New Roman" w:eastAsia="Times New Roman" w:hAnsi="Times New Roman" w:cs="Times New Roman"/>
          <w:color w:val="00B0F0"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qui l’articolo non </w:t>
      </w:r>
      <w:r w:rsidR="00CB09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accompagna ad alcuna parola. Capita con articoli in casi neutri (sia singolare che plurale). In questo caso l’articolo assume il significato di «le cose», in altri termini aggettivo e articoli alla forma neutra corrispondono all’uso generico della parola cosa nella lingua italiana: esempio “Nella vita ha fatto </w:t>
      </w:r>
      <w:r w:rsidR="00CB09B6" w:rsidRPr="00CB09B6">
        <w:rPr>
          <w:rFonts w:ascii="Times New Roman" w:eastAsia="Times New Roman" w:hAnsi="Times New Roman" w:cs="Times New Roman"/>
          <w:color w:val="00B050"/>
          <w:sz w:val="24"/>
          <w:szCs w:val="24"/>
          <w:lang w:eastAsia="it-IT"/>
        </w:rPr>
        <w:t>molte cose buone</w:t>
      </w:r>
      <w:r w:rsidR="00CB09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 = </w:t>
      </w:r>
      <w:r w:rsidR="00CB09B6">
        <w:rPr>
          <w:rFonts w:ascii="Times New Roman" w:eastAsia="Times New Roman" w:hAnsi="Times New Roman" w:cs="Times New Roman"/>
          <w:sz w:val="24"/>
          <w:szCs w:val="24"/>
          <w:lang w:val="el-GR" w:eastAsia="it-IT"/>
        </w:rPr>
        <w:t>ἐν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B09B6">
        <w:rPr>
          <w:rFonts w:ascii="Times New Roman" w:eastAsia="Times New Roman" w:hAnsi="Times New Roman" w:cs="Times New Roman"/>
          <w:sz w:val="24"/>
          <w:szCs w:val="24"/>
          <w:lang w:val="el-GR" w:eastAsia="it-IT"/>
        </w:rPr>
        <w:t>τῷ</w:t>
      </w:r>
      <w:r w:rsidR="00CB09B6" w:rsidRPr="00CB09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B09B6">
        <w:rPr>
          <w:rFonts w:ascii="Times New Roman" w:eastAsia="Times New Roman" w:hAnsi="Times New Roman" w:cs="Times New Roman"/>
          <w:sz w:val="24"/>
          <w:szCs w:val="24"/>
          <w:lang w:val="el-GR" w:eastAsia="it-IT"/>
        </w:rPr>
        <w:t>βίῳ</w:t>
      </w:r>
      <w:r w:rsidR="00CB09B6" w:rsidRPr="00CB09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B09B6">
        <w:rPr>
          <w:rFonts w:ascii="Times New Roman" w:eastAsia="Times New Roman" w:hAnsi="Times New Roman" w:cs="Times New Roman"/>
          <w:sz w:val="24"/>
          <w:szCs w:val="24"/>
          <w:lang w:val="el-GR" w:eastAsia="it-IT"/>
        </w:rPr>
        <w:t>πεπόιηκα</w:t>
      </w:r>
      <w:r w:rsidR="00CB09B6" w:rsidRPr="00CB09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B09B6" w:rsidRPr="00CB09B6">
        <w:rPr>
          <w:rFonts w:ascii="Times New Roman" w:eastAsia="Times New Roman" w:hAnsi="Times New Roman" w:cs="Times New Roman"/>
          <w:color w:val="00B050"/>
          <w:sz w:val="24"/>
          <w:szCs w:val="24"/>
          <w:lang w:val="el-GR" w:eastAsia="it-IT"/>
        </w:rPr>
        <w:t>πολλὰ</w:t>
      </w:r>
      <w:r w:rsidR="00CB09B6" w:rsidRPr="00CB09B6">
        <w:rPr>
          <w:rFonts w:ascii="Times New Roman" w:eastAsia="Times New Roman" w:hAnsi="Times New Roman" w:cs="Times New Roman"/>
          <w:color w:val="00B050"/>
          <w:sz w:val="24"/>
          <w:szCs w:val="24"/>
          <w:lang w:eastAsia="it-IT"/>
        </w:rPr>
        <w:t xml:space="preserve"> </w:t>
      </w:r>
      <w:r w:rsidR="00CB09B6" w:rsidRPr="00CB09B6">
        <w:rPr>
          <w:rFonts w:ascii="Times New Roman" w:eastAsia="Times New Roman" w:hAnsi="Times New Roman" w:cs="Times New Roman"/>
          <w:color w:val="00B050"/>
          <w:sz w:val="24"/>
          <w:szCs w:val="24"/>
          <w:lang w:val="el-GR" w:eastAsia="it-IT"/>
        </w:rPr>
        <w:t>ἀγαθά</w:t>
      </w:r>
    </w:p>
    <w:p w14:paraId="228970ED" w14:textId="77777777" w:rsidR="001A1CE7" w:rsidRDefault="001A1CE7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</w:p>
    <w:p w14:paraId="0DBE064C" w14:textId="3A0B04CE" w:rsidR="00D74302" w:rsidRDefault="00D74302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</w:p>
    <w:sectPr w:rsidR="00D74302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AAA57" w14:textId="77777777" w:rsidR="00CA10C5" w:rsidRDefault="00CA10C5" w:rsidP="001B5ED7">
      <w:pPr>
        <w:spacing w:after="0" w:line="240" w:lineRule="auto"/>
      </w:pPr>
      <w:r>
        <w:separator/>
      </w:r>
    </w:p>
  </w:endnote>
  <w:endnote w:type="continuationSeparator" w:id="0">
    <w:p w14:paraId="4B21F414" w14:textId="77777777" w:rsidR="00CA10C5" w:rsidRDefault="00CA10C5" w:rsidP="001B5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FD4A5" w14:textId="77777777" w:rsidR="00CA10C5" w:rsidRDefault="00CA10C5" w:rsidP="001B5ED7">
      <w:pPr>
        <w:spacing w:after="0" w:line="240" w:lineRule="auto"/>
      </w:pPr>
      <w:r>
        <w:separator/>
      </w:r>
    </w:p>
  </w:footnote>
  <w:footnote w:type="continuationSeparator" w:id="0">
    <w:p w14:paraId="50D86927" w14:textId="77777777" w:rsidR="00CA10C5" w:rsidRDefault="00CA10C5" w:rsidP="001B5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2589E" w14:textId="06549A89" w:rsidR="001B5ED7" w:rsidRPr="001B5ED7" w:rsidRDefault="001B5ED7" w:rsidP="001B5ED7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 w:rsidR="00182E0E">
      <w:rPr>
        <w:smallCaps/>
        <w:sz w:val="24"/>
        <w:szCs w:val="24"/>
      </w:rPr>
      <w:t>M – Corso di Greco biblico A /20</w:t>
    </w:r>
    <w:r w:rsidR="00831029">
      <w:rPr>
        <w:smallCaps/>
        <w:sz w:val="24"/>
        <w:szCs w:val="24"/>
      </w:rPr>
      <w:t>2</w:t>
    </w:r>
    <w:r w:rsidR="00CD1172">
      <w:rPr>
        <w:smallCaps/>
        <w:sz w:val="24"/>
        <w:szCs w:val="24"/>
      </w:rPr>
      <w:t>3</w:t>
    </w:r>
    <w:r w:rsidR="00182E0E">
      <w:rPr>
        <w:smallCaps/>
        <w:sz w:val="24"/>
        <w:szCs w:val="24"/>
      </w:rPr>
      <w:t>-202</w:t>
    </w:r>
    <w:r w:rsidR="00CD1172">
      <w:rPr>
        <w:smallCaps/>
        <w:sz w:val="24"/>
        <w:szCs w:val="24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7A0D"/>
    <w:multiLevelType w:val="hybridMultilevel"/>
    <w:tmpl w:val="A5BCB4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B2576"/>
    <w:multiLevelType w:val="hybridMultilevel"/>
    <w:tmpl w:val="C78827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3C1B10"/>
    <w:multiLevelType w:val="hybridMultilevel"/>
    <w:tmpl w:val="B274AE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217005">
    <w:abstractNumId w:val="0"/>
  </w:num>
  <w:num w:numId="2" w16cid:durableId="1545603004">
    <w:abstractNumId w:val="1"/>
  </w:num>
  <w:num w:numId="3" w16cid:durableId="443887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C34"/>
    <w:rsid w:val="00092F29"/>
    <w:rsid w:val="000B5B1B"/>
    <w:rsid w:val="000D4B5B"/>
    <w:rsid w:val="00116FD6"/>
    <w:rsid w:val="00133A2F"/>
    <w:rsid w:val="00182E0E"/>
    <w:rsid w:val="001A1CE7"/>
    <w:rsid w:val="001B5ED7"/>
    <w:rsid w:val="001C2FE5"/>
    <w:rsid w:val="00254B3D"/>
    <w:rsid w:val="002D3D5A"/>
    <w:rsid w:val="002F0037"/>
    <w:rsid w:val="003146C2"/>
    <w:rsid w:val="00320B14"/>
    <w:rsid w:val="00345273"/>
    <w:rsid w:val="00370DB7"/>
    <w:rsid w:val="003A3A6A"/>
    <w:rsid w:val="003B2165"/>
    <w:rsid w:val="003B5C34"/>
    <w:rsid w:val="00466A7C"/>
    <w:rsid w:val="004B0F67"/>
    <w:rsid w:val="005005C7"/>
    <w:rsid w:val="0054537C"/>
    <w:rsid w:val="005B0073"/>
    <w:rsid w:val="00602A8E"/>
    <w:rsid w:val="00691DFF"/>
    <w:rsid w:val="006B7A7F"/>
    <w:rsid w:val="007C11E7"/>
    <w:rsid w:val="007C20E5"/>
    <w:rsid w:val="007D64D4"/>
    <w:rsid w:val="00827AF3"/>
    <w:rsid w:val="00831029"/>
    <w:rsid w:val="008731C9"/>
    <w:rsid w:val="008C633B"/>
    <w:rsid w:val="008E6ADC"/>
    <w:rsid w:val="009979CC"/>
    <w:rsid w:val="009D318F"/>
    <w:rsid w:val="00A46D12"/>
    <w:rsid w:val="00B07B36"/>
    <w:rsid w:val="00B178E1"/>
    <w:rsid w:val="00B323C1"/>
    <w:rsid w:val="00B362FF"/>
    <w:rsid w:val="00B43E1B"/>
    <w:rsid w:val="00B811E0"/>
    <w:rsid w:val="00C01D7C"/>
    <w:rsid w:val="00C5606A"/>
    <w:rsid w:val="00CA10C5"/>
    <w:rsid w:val="00CB09B6"/>
    <w:rsid w:val="00CB4010"/>
    <w:rsid w:val="00CD1172"/>
    <w:rsid w:val="00CD6723"/>
    <w:rsid w:val="00D11EF7"/>
    <w:rsid w:val="00D315B6"/>
    <w:rsid w:val="00D3396E"/>
    <w:rsid w:val="00D46387"/>
    <w:rsid w:val="00D65FF5"/>
    <w:rsid w:val="00D74302"/>
    <w:rsid w:val="00DF5854"/>
    <w:rsid w:val="00EE62D1"/>
    <w:rsid w:val="00F14D93"/>
    <w:rsid w:val="00F80A04"/>
    <w:rsid w:val="00F85F7E"/>
    <w:rsid w:val="00F9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96DAC"/>
  <w15:chartTrackingRefBased/>
  <w15:docId w15:val="{9A112EC4-F217-43A6-8AD9-BB38F340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D743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D64D4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7D64D4"/>
  </w:style>
  <w:style w:type="paragraph" w:styleId="Paragrafoelenco">
    <w:name w:val="List Paragraph"/>
    <w:basedOn w:val="Normale"/>
    <w:uiPriority w:val="34"/>
    <w:qFormat/>
    <w:rsid w:val="00D46387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315B6"/>
    <w:rPr>
      <w:b/>
      <w:bCs/>
    </w:rPr>
  </w:style>
  <w:style w:type="character" w:customStyle="1" w:styleId="verse-23">
    <w:name w:val="verse-23"/>
    <w:basedOn w:val="Carpredefinitoparagrafo"/>
    <w:rsid w:val="00D315B6"/>
  </w:style>
  <w:style w:type="character" w:customStyle="1" w:styleId="verse-24">
    <w:name w:val="verse-24"/>
    <w:basedOn w:val="Carpredefinitoparagrafo"/>
    <w:rsid w:val="00D315B6"/>
  </w:style>
  <w:style w:type="character" w:customStyle="1" w:styleId="verse-25">
    <w:name w:val="verse-25"/>
    <w:basedOn w:val="Carpredefinitoparagrafo"/>
    <w:rsid w:val="00D315B6"/>
  </w:style>
  <w:style w:type="character" w:customStyle="1" w:styleId="verse-26">
    <w:name w:val="verse-26"/>
    <w:basedOn w:val="Carpredefinitoparagrafo"/>
    <w:rsid w:val="00D315B6"/>
  </w:style>
  <w:style w:type="character" w:customStyle="1" w:styleId="verse-27">
    <w:name w:val="verse-27"/>
    <w:basedOn w:val="Carpredefinitoparagrafo"/>
    <w:rsid w:val="00D315B6"/>
  </w:style>
  <w:style w:type="character" w:customStyle="1" w:styleId="verse-28">
    <w:name w:val="verse-28"/>
    <w:basedOn w:val="Carpredefinitoparagrafo"/>
    <w:rsid w:val="00D315B6"/>
  </w:style>
  <w:style w:type="character" w:customStyle="1" w:styleId="verse-29">
    <w:name w:val="verse-29"/>
    <w:basedOn w:val="Carpredefinitoparagrafo"/>
    <w:rsid w:val="00D315B6"/>
  </w:style>
  <w:style w:type="character" w:customStyle="1" w:styleId="verse-30">
    <w:name w:val="verse-30"/>
    <w:basedOn w:val="Carpredefinitoparagrafo"/>
    <w:rsid w:val="00D315B6"/>
  </w:style>
  <w:style w:type="character" w:customStyle="1" w:styleId="verse-31">
    <w:name w:val="verse-31"/>
    <w:basedOn w:val="Carpredefinitoparagrafo"/>
    <w:rsid w:val="00D315B6"/>
  </w:style>
  <w:style w:type="character" w:customStyle="1" w:styleId="verse-32">
    <w:name w:val="verse-32"/>
    <w:basedOn w:val="Carpredefinitoparagrafo"/>
    <w:rsid w:val="00D315B6"/>
  </w:style>
  <w:style w:type="character" w:customStyle="1" w:styleId="verse-33">
    <w:name w:val="verse-33"/>
    <w:basedOn w:val="Carpredefinitoparagrafo"/>
    <w:rsid w:val="00D315B6"/>
  </w:style>
  <w:style w:type="character" w:customStyle="1" w:styleId="verse-34">
    <w:name w:val="verse-34"/>
    <w:basedOn w:val="Carpredefinitoparagrafo"/>
    <w:rsid w:val="00D315B6"/>
  </w:style>
  <w:style w:type="character" w:customStyle="1" w:styleId="verse-35">
    <w:name w:val="verse-35"/>
    <w:basedOn w:val="Carpredefinitoparagrafo"/>
    <w:rsid w:val="00D315B6"/>
  </w:style>
  <w:style w:type="character" w:customStyle="1" w:styleId="Titolo3Carattere">
    <w:name w:val="Titolo 3 Carattere"/>
    <w:basedOn w:val="Carpredefinitoparagrafo"/>
    <w:link w:val="Titolo3"/>
    <w:uiPriority w:val="9"/>
    <w:rsid w:val="00D7430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D74302"/>
  </w:style>
  <w:style w:type="character" w:customStyle="1" w:styleId="mw-editsection">
    <w:name w:val="mw-editsection"/>
    <w:basedOn w:val="Carpredefinitoparagrafo"/>
    <w:rsid w:val="00D74302"/>
  </w:style>
  <w:style w:type="character" w:customStyle="1" w:styleId="mw-editsection-bracket">
    <w:name w:val="mw-editsection-bracket"/>
    <w:basedOn w:val="Carpredefinitoparagrafo"/>
    <w:rsid w:val="00D74302"/>
  </w:style>
  <w:style w:type="character" w:customStyle="1" w:styleId="greco5">
    <w:name w:val="greco5"/>
    <w:basedOn w:val="Carpredefinitoparagrafo"/>
    <w:rsid w:val="007C20E5"/>
  </w:style>
  <w:style w:type="character" w:customStyle="1" w:styleId="trad">
    <w:name w:val="trad"/>
    <w:basedOn w:val="Carpredefinitoparagrafo"/>
    <w:rsid w:val="007C20E5"/>
  </w:style>
  <w:style w:type="character" w:customStyle="1" w:styleId="stile10">
    <w:name w:val="stile10"/>
    <w:basedOn w:val="Carpredefinitoparagrafo"/>
    <w:rsid w:val="007C20E5"/>
  </w:style>
  <w:style w:type="character" w:customStyle="1" w:styleId="word">
    <w:name w:val="word"/>
    <w:basedOn w:val="Carpredefinitoparagrafo"/>
    <w:rsid w:val="00B43E1B"/>
  </w:style>
  <w:style w:type="paragraph" w:styleId="Intestazione">
    <w:name w:val="header"/>
    <w:basedOn w:val="Normale"/>
    <w:link w:val="IntestazioneCarattere"/>
    <w:uiPriority w:val="99"/>
    <w:unhideWhenUsed/>
    <w:rsid w:val="001B5E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5ED7"/>
  </w:style>
  <w:style w:type="paragraph" w:styleId="Pidipagina">
    <w:name w:val="footer"/>
    <w:basedOn w:val="Normale"/>
    <w:link w:val="PidipaginaCarattere"/>
    <w:uiPriority w:val="99"/>
    <w:unhideWhenUsed/>
    <w:rsid w:val="001B5E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5ED7"/>
  </w:style>
  <w:style w:type="paragraph" w:styleId="NormaleWeb">
    <w:name w:val="Normal (Web)"/>
    <w:basedOn w:val="Normale"/>
    <w:uiPriority w:val="99"/>
    <w:unhideWhenUsed/>
    <w:rsid w:val="00831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">
    <w:name w:val="text"/>
    <w:basedOn w:val="Carpredefinitoparagrafo"/>
    <w:rsid w:val="00831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9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3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0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t.wikipedia.org/wiki/Satrap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12</cp:revision>
  <cp:lastPrinted>2020-03-08T18:26:00Z</cp:lastPrinted>
  <dcterms:created xsi:type="dcterms:W3CDTF">2022-03-13T20:17:00Z</dcterms:created>
  <dcterms:modified xsi:type="dcterms:W3CDTF">2024-03-05T11:22:00Z</dcterms:modified>
</cp:coreProperties>
</file>