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E8F" w:rsidRDefault="00567E8F" w:rsidP="009723F7"/>
    <w:p w:rsidR="00567E8F" w:rsidRPr="00567E8F" w:rsidRDefault="00567E8F" w:rsidP="00567E8F">
      <w:pPr>
        <w:jc w:val="center"/>
        <w:rPr>
          <w:sz w:val="28"/>
          <w:u w:val="single"/>
        </w:rPr>
      </w:pPr>
      <w:r w:rsidRPr="00567E8F">
        <w:rPr>
          <w:sz w:val="28"/>
          <w:u w:val="single"/>
        </w:rPr>
        <w:t xml:space="preserve">Trasmettere un </w:t>
      </w:r>
      <w:r w:rsidR="005C2D10">
        <w:rPr>
          <w:sz w:val="28"/>
          <w:u w:val="single"/>
        </w:rPr>
        <w:t>“</w:t>
      </w:r>
      <w:r w:rsidRPr="00567E8F">
        <w:rPr>
          <w:sz w:val="28"/>
          <w:u w:val="single"/>
        </w:rPr>
        <w:t>vedere</w:t>
      </w:r>
      <w:r w:rsidR="005C2D10">
        <w:rPr>
          <w:sz w:val="28"/>
          <w:u w:val="single"/>
        </w:rPr>
        <w:t>”</w:t>
      </w:r>
    </w:p>
    <w:p w:rsidR="009723F7" w:rsidRDefault="009723F7" w:rsidP="009723F7"/>
    <w:p w:rsidR="009723F7" w:rsidRDefault="009723F7" w:rsidP="009723F7">
      <w:r>
        <w:t xml:space="preserve">La fede delle origini cristiane è un’esperienza sorgiva, non ancora tematizzata, di un incontro con un rabbi itinerante, condannato a morte e che alcuni dicono </w:t>
      </w:r>
      <w:r w:rsidR="00654039">
        <w:t xml:space="preserve">di </w:t>
      </w:r>
      <w:r>
        <w:t xml:space="preserve">aver incontrato vivo dopo la sua crocifissione. La comunità primitiva si forma intorno a questa dialettica fra coloro che lo hanno visto risorto e coloro che pur senza averlo visto accettano la “testimonianza oculare”, la </w:t>
      </w:r>
      <w:r w:rsidR="00654039">
        <w:t>“</w:t>
      </w:r>
      <w:proofErr w:type="spellStart"/>
      <w:r>
        <w:t>martyria</w:t>
      </w:r>
      <w:proofErr w:type="spellEnd"/>
      <w:r w:rsidR="00654039">
        <w:t>”</w:t>
      </w:r>
      <w:r>
        <w:t xml:space="preserve">, di coloro che dicono di averlo visto. L’elemento che coagula la nuova comunità è dunque </w:t>
      </w:r>
      <w:r w:rsidR="00555A90">
        <w:t xml:space="preserve">un discorso sul vedere. O meglio, la trasmissione di un vedere a chi non a visto. </w:t>
      </w:r>
      <w:r w:rsidR="00A940DE">
        <w:t>Ma come trasmettere un “vedere” irrepetibile?</w:t>
      </w:r>
    </w:p>
    <w:p w:rsidR="00555A90" w:rsidRDefault="00555A90" w:rsidP="009723F7">
      <w:r>
        <w:t>A livello di dinamica spirituale si può dire che la visione del Cristo risorto ha nel primo cristianesimo un ruolo analogo alla rivelazione del Nome di Dio nell’Antico Testamento</w:t>
      </w:r>
      <w:r w:rsidR="006F74C6">
        <w:rPr>
          <w:rStyle w:val="Rimandonotaapidipagina"/>
        </w:rPr>
        <w:footnoteReference w:id="1"/>
      </w:r>
      <w:r>
        <w:t>. Il Nome era stato rivelato a pochi scelti e non si poteva pronunciare. Ma proprio perché non pronunciabile, tutta la liturgia di Israele e in definitiva tutta la Scrittura si sviluppa per dire il Nome senza dirlo. La non disponibilità di questo Nome provoca una fecondità straordinaria in termini di racconti, leggi, poesia</w:t>
      </w:r>
      <w:r w:rsidR="00A940DE">
        <w:t>,</w:t>
      </w:r>
      <w:r>
        <w:t xml:space="preserve"> che anela a questo Nome e cerca in qualche modo di esprimerlo, interpretarlo. Si è potuto dire che tutta la Bibbia ebraica è una interpretazione di quel Nome indicibile</w:t>
      </w:r>
      <w:r w:rsidR="00654039">
        <w:rPr>
          <w:rStyle w:val="Rimandonotaapidipagina"/>
        </w:rPr>
        <w:footnoteReference w:id="2"/>
      </w:r>
      <w:r>
        <w:t>. Nello stesso modo, il Risorto è apparso a pochi e la sua visibilità non è disponibile. Negli stessi racconti evangelici delle apparizioni, il Risorto “appare per scomparire”</w:t>
      </w:r>
      <w:r w:rsidR="006F74C6">
        <w:rPr>
          <w:rStyle w:val="Rimandonotaapidipagina"/>
        </w:rPr>
        <w:footnoteReference w:id="3"/>
      </w:r>
      <w:r>
        <w:t>, non si lascia afferrare. Eppure questa inafferrabilità del dato centrale della fede cristiana provoca una fecondità straordinaria. La liturgia</w:t>
      </w:r>
      <w:r w:rsidR="002B5878">
        <w:t xml:space="preserve"> cristiana</w:t>
      </w:r>
      <w:r>
        <w:t>,</w:t>
      </w:r>
      <w:r w:rsidR="002B5878">
        <w:t xml:space="preserve"> i testi del</w:t>
      </w:r>
      <w:r>
        <w:t xml:space="preserve"> Nuovo Testamento e tutto ciò che la fede produce è </w:t>
      </w:r>
      <w:r w:rsidR="002B5878">
        <w:t xml:space="preserve">un’interpretazione di quella visione </w:t>
      </w:r>
      <w:r w:rsidR="00A940DE">
        <w:t>irrepetibile</w:t>
      </w:r>
      <w:r w:rsidR="002B5878">
        <w:t xml:space="preserve">. E’ un tentativo di esprimere e trasmettere </w:t>
      </w:r>
      <w:r w:rsidR="00A940DE">
        <w:t>quella</w:t>
      </w:r>
      <w:r w:rsidR="002B5878">
        <w:t xml:space="preserve"> visione. E’ un far vedere senza vedere. Ed è questa interpretazione che forma la comunità. Fanno parte della comunità cristiana non coloro che hanno visto ma coloro che </w:t>
      </w:r>
      <w:r w:rsidR="00D30181">
        <w:t>accettano</w:t>
      </w:r>
      <w:r w:rsidR="002B5878">
        <w:t xml:space="preserve"> quella interpretazione dell’evento visivo. Grazie a questa interpretazione anche loro accedono a un tipo di “visione” particolare, derivata dall’inafferrabile visione originaria.</w:t>
      </w:r>
      <w:r w:rsidR="00567E8F">
        <w:t xml:space="preserve"> Come </w:t>
      </w:r>
      <w:r w:rsidR="004525F8">
        <w:t>suggerisce</w:t>
      </w:r>
      <w:r w:rsidR="00567E8F">
        <w:t xml:space="preserve"> Sant’Ambrogio, credere è ricevere un’immagine di Dio</w:t>
      </w:r>
      <w:r w:rsidR="004525F8">
        <w:rPr>
          <w:rStyle w:val="Rimandonotaapidipagina"/>
        </w:rPr>
        <w:footnoteReference w:id="4"/>
      </w:r>
      <w:r w:rsidR="00567E8F">
        <w:t>.</w:t>
      </w:r>
    </w:p>
    <w:p w:rsidR="002B5878" w:rsidRDefault="002B5878" w:rsidP="009723F7">
      <w:r>
        <w:t xml:space="preserve">Nella prima tappa di questa </w:t>
      </w:r>
      <w:r w:rsidR="00A940DE">
        <w:t>trasmissione</w:t>
      </w:r>
      <w:r>
        <w:t xml:space="preserve"> dell’evento di Pasqua, la visione è consegnata alla parola. </w:t>
      </w:r>
      <w:r w:rsidR="00D30181">
        <w:t>I</w:t>
      </w:r>
      <w:r>
        <w:t xml:space="preserve">l primo contenitore dell’evento di Pasqua è stato </w:t>
      </w:r>
      <w:r w:rsidR="00BA4EF9">
        <w:t xml:space="preserve">probabilmente </w:t>
      </w:r>
      <w:r>
        <w:t xml:space="preserve">una </w:t>
      </w:r>
      <w:r w:rsidR="00567E8F">
        <w:t>semplice esclamazione</w:t>
      </w:r>
      <w:r>
        <w:t>: “</w:t>
      </w:r>
      <w:proofErr w:type="spellStart"/>
      <w:r>
        <w:t>oftè</w:t>
      </w:r>
      <w:proofErr w:type="spellEnd"/>
      <w:r>
        <w:t>” (“è stato visto”, o “si è fatto vedere”), che traduciamo spesso con “è apparso”</w:t>
      </w:r>
      <w:r w:rsidR="007667D1">
        <w:rPr>
          <w:rStyle w:val="Rimandonotaapidipagina"/>
        </w:rPr>
        <w:footnoteReference w:id="5"/>
      </w:r>
      <w:r>
        <w:t xml:space="preserve">. E’ un vocabolo interessante che contiene tutta la tensione </w:t>
      </w:r>
      <w:r w:rsidR="00BA4EF9">
        <w:t>della nostra problematica. Il suo significato</w:t>
      </w:r>
      <w:r w:rsidR="00D30181">
        <w:t xml:space="preserve"> è dell’</w:t>
      </w:r>
      <w:r w:rsidR="00BA4EF9">
        <w:t>ordine del vedere. Mentre il significante è appunto una parola, da ascoltare. Il primo annuncio della fede cristiana è dunque “ascoltare un vedere”</w:t>
      </w:r>
      <w:r w:rsidR="007667D1">
        <w:rPr>
          <w:rStyle w:val="Rimandonotaapidipagina"/>
        </w:rPr>
        <w:footnoteReference w:id="6"/>
      </w:r>
      <w:r w:rsidR="00BA4EF9">
        <w:t xml:space="preserve">. Ma questa parola è anche una parola ben precisa e codificata che sarà trasmessa tale quale e diventa subito una “formula”. L’intero evento di Pasqua che per i cristiani è il centro della storia e il senso </w:t>
      </w:r>
      <w:r w:rsidR="00BA4EF9">
        <w:lastRenderedPageBreak/>
        <w:t>della vita è consegnato a un’umile parola umana</w:t>
      </w:r>
      <w:r w:rsidR="007667D1">
        <w:rPr>
          <w:rStyle w:val="Rimandonotaapidipagina"/>
        </w:rPr>
        <w:footnoteReference w:id="7"/>
      </w:r>
      <w:r w:rsidR="00BA4EF9">
        <w:t xml:space="preserve">. Ed è questo “contenitore”, già in sé interpretativo dell’evento inafferrabile, che provoca l’incontro fra l’ascoltatore e l’evento inafferrabile. </w:t>
      </w:r>
    </w:p>
    <w:p w:rsidR="009246A0" w:rsidRDefault="00BA4EF9" w:rsidP="009723F7">
      <w:r>
        <w:t xml:space="preserve">Molto presto questa interpretazione-trasmissione si sviluppa con altre parole che conosciamo bene: “si è alzato”, “si è svegliato”. </w:t>
      </w:r>
      <w:r w:rsidR="009246A0">
        <w:t xml:space="preserve">Anche queste sono interpretazioni per dire l’indicibile, per dire ciò che di per sé non entrerebbe in una parola. </w:t>
      </w:r>
      <w:r w:rsidR="008E7743">
        <w:t xml:space="preserve">Erano parole del lessico corrente, che però in questo contesto diventano “parole tecniche” e “pregnanti”, “portatrici di vita”.  </w:t>
      </w:r>
      <w:r w:rsidR="009246A0">
        <w:t>Poco p</w:t>
      </w:r>
      <w:r>
        <w:t>iù tardi</w:t>
      </w:r>
      <w:r w:rsidR="009246A0">
        <w:t xml:space="preserve"> abbiamo altre espressioni</w:t>
      </w:r>
      <w:r>
        <w:t xml:space="preserve">: “è stato glorificato”, “ha ricevuto il Nome che è al di sopra di ogni altro Nome”. </w:t>
      </w:r>
      <w:r w:rsidR="009246A0">
        <w:t>Questo collegamento fra Risurrezione e Nome in Fil 2 non è un caso come abbiamo detto sopra.</w:t>
      </w:r>
      <w:r w:rsidR="008E7743">
        <w:t xml:space="preserve"> Interpretare e trasmettere il Risorto è come interpretare e trasmettere il Nome.</w:t>
      </w:r>
      <w:r w:rsidR="00567E8F">
        <w:t xml:space="preserve"> Il Nome e il Risorto sono disponibile solo nella loro interpretazione, che ne è la loro autentica Rivelazione.</w:t>
      </w:r>
    </w:p>
    <w:p w:rsidR="00BA4EF9" w:rsidRDefault="009246A0" w:rsidP="009723F7">
      <w:r>
        <w:t>In 1Cor 15 abbiamo già una formulazione molto articolata di questa interpretazione-trasmissione</w:t>
      </w:r>
      <w:r w:rsidR="00C96416">
        <w:rPr>
          <w:rStyle w:val="Rimandonotaapidipagina"/>
        </w:rPr>
        <w:footnoteReference w:id="8"/>
      </w:r>
      <w:r>
        <w:t xml:space="preserve">. I verbi sono quattro, con un evidente parallelismo: morto, sepolto, rialzato, visto. </w:t>
      </w:r>
      <w:r w:rsidR="00BA4EF9">
        <w:t>Il processo di codificazione dell’annuncio di fede nei primissimi de</w:t>
      </w:r>
      <w:r>
        <w:t xml:space="preserve">cenni del cristianesimo ha permesso all’esegeta </w:t>
      </w:r>
      <w:proofErr w:type="spellStart"/>
      <w:r>
        <w:t>Heinrich</w:t>
      </w:r>
      <w:proofErr w:type="spellEnd"/>
      <w:r>
        <w:t xml:space="preserve"> </w:t>
      </w:r>
      <w:proofErr w:type="spellStart"/>
      <w:r>
        <w:t>Schlier</w:t>
      </w:r>
      <w:proofErr w:type="spellEnd"/>
      <w:r>
        <w:t xml:space="preserve"> di mostrare quanto il “dogma” (inteso come la codificazione verbale dell’annuncio di fede) sia il seme originario di ogni Scrittura cristiana</w:t>
      </w:r>
      <w:r w:rsidR="00C96416">
        <w:rPr>
          <w:rStyle w:val="Rimandonotaapidipagina"/>
        </w:rPr>
        <w:footnoteReference w:id="9"/>
      </w:r>
      <w:r>
        <w:t xml:space="preserve">. I racconti evangelici sono la traduzione in un linguaggio narrativo del </w:t>
      </w:r>
      <w:r w:rsidR="0023424E">
        <w:t>“</w:t>
      </w:r>
      <w:proofErr w:type="spellStart"/>
      <w:r w:rsidR="0023424E">
        <w:t>kerygma-</w:t>
      </w:r>
      <w:r>
        <w:t>dogma</w:t>
      </w:r>
      <w:proofErr w:type="spellEnd"/>
      <w:r w:rsidR="0023424E">
        <w:t>”</w:t>
      </w:r>
      <w:r>
        <w:t xml:space="preserve"> originario della morte e risurrezione di Cristo. Detto brutalmente: abbiamo prima il dogma e poi la Scrittura. E c’è in effetti una continuità di intenti fra le formule originarie dell’annuncio di fede e i racconti dei Vangeli. Si tratta sempre di interpretare il dato non disponibile</w:t>
      </w:r>
      <w:r w:rsidR="0023424E">
        <w:t xml:space="preserve"> (la Pasqua di Gesù) che come “occhio del ciclone” scatena un’energia travolgente e creativa proprio perché non disponibile. </w:t>
      </w:r>
    </w:p>
    <w:p w:rsidR="0037499B" w:rsidRDefault="0023424E" w:rsidP="009723F7">
      <w:r>
        <w:t>Lo stile narrativo permette di entrare in relazione con l’evento indisponibile presentando diverse figure (i personaggi del vangelo) che sono entrate in relazione con il Risorto. Figure con cui il lettore si può identificare ed entrare anche lui in relazione con il Risorto. Lo scopo dei vangeli è creare così una “cassa di risonanza” una sorta di “palazzo degli specchi” perché lo scarno “</w:t>
      </w:r>
      <w:proofErr w:type="spellStart"/>
      <w:r>
        <w:t>kerygma-dogma</w:t>
      </w:r>
      <w:proofErr w:type="spellEnd"/>
      <w:r>
        <w:t>” possa essere assimilato, ascoltato in profondità, riconosciuto nei diversi ambiti della vita. Ascoltare il Vangelo è asc</w:t>
      </w:r>
      <w:r w:rsidR="00BE3728">
        <w:t xml:space="preserve">oltare un vedere che fa vedere. Il “venite e vedrete” detto ai discepoli all’inizio del Vangelo di Giovanni </w:t>
      </w:r>
      <w:r>
        <w:t xml:space="preserve"> </w:t>
      </w:r>
      <w:r w:rsidR="00BE3728">
        <w:t xml:space="preserve">è un semplice invito alla lettura dello stesso Vangelo. Ascoltare il Vangelo è ascoltare altri che vedono e ricevere la loro stessa visione. Ascoltare fa vedere. </w:t>
      </w:r>
    </w:p>
    <w:p w:rsidR="0023424E" w:rsidRDefault="0037499B" w:rsidP="009723F7">
      <w:r>
        <w:t xml:space="preserve">L’esegesi storico-critica ha mostrato come molte delle figure e degli episodi evangelici sono presi da tipologie già esistenti e da racconti appartenenti al vasto patrimonio umano di guarigioni, miracoli, </w:t>
      </w:r>
      <w:proofErr w:type="spellStart"/>
      <w:r>
        <w:t>ecc…</w:t>
      </w:r>
      <w:proofErr w:type="spellEnd"/>
      <w:r w:rsidR="003854CF">
        <w:rPr>
          <w:rStyle w:val="Rimandonotaapidipagina"/>
        </w:rPr>
        <w:footnoteReference w:id="10"/>
      </w:r>
      <w:r>
        <w:t xml:space="preserve"> Ma in questo contesto </w:t>
      </w:r>
      <w:r w:rsidR="00D02961">
        <w:t xml:space="preserve">questi “mitemi” </w:t>
      </w:r>
      <w:r>
        <w:t>interpretano e contengono l’indicibile potenza della Pasqua di Cristo.</w:t>
      </w:r>
      <w:r w:rsidR="00D4541D">
        <w:t xml:space="preserve"> La stessa esegesi ci mostra anche che i diversi racconti evangelici nascono da precisi contesti </w:t>
      </w:r>
      <w:r w:rsidR="00467ABC">
        <w:t>vitali delle comunità. Perciò ogni</w:t>
      </w:r>
      <w:r w:rsidR="00D4541D">
        <w:t xml:space="preserve"> Vangelo è soprattutto la testimonianza della fede della comunità che lo ha generato. E’ l’interpretazione dell’</w:t>
      </w:r>
      <w:r w:rsidR="00D02961">
        <w:t>I</w:t>
      </w:r>
      <w:r w:rsidR="00D4541D">
        <w:t>nafferrabile che una precisa comunità ci consegna.</w:t>
      </w:r>
      <w:r w:rsidR="00467ABC">
        <w:t xml:space="preserve"> Ma proprio così è Rivelazione dell’Inafferrabile</w:t>
      </w:r>
      <w:r w:rsidR="00763454">
        <w:rPr>
          <w:rStyle w:val="Rimandonotaapidipagina"/>
        </w:rPr>
        <w:footnoteReference w:id="11"/>
      </w:r>
      <w:r w:rsidR="00467ABC">
        <w:t>.</w:t>
      </w:r>
      <w:r w:rsidR="0068596F">
        <w:t xml:space="preserve"> In altre parole è la “</w:t>
      </w:r>
      <w:proofErr w:type="spellStart"/>
      <w:r w:rsidR="0068596F">
        <w:t>paradosis</w:t>
      </w:r>
      <w:proofErr w:type="spellEnd"/>
      <w:r w:rsidR="0068596F">
        <w:t xml:space="preserve">”, la </w:t>
      </w:r>
      <w:proofErr w:type="spellStart"/>
      <w:r w:rsidR="0068596F">
        <w:t>Traditio</w:t>
      </w:r>
      <w:proofErr w:type="spellEnd"/>
      <w:r w:rsidR="003854CF">
        <w:rPr>
          <w:rStyle w:val="Rimandonotaapidipagina"/>
        </w:rPr>
        <w:footnoteReference w:id="12"/>
      </w:r>
      <w:r w:rsidR="0068596F">
        <w:t>.</w:t>
      </w:r>
    </w:p>
    <w:p w:rsidR="0037499B" w:rsidRDefault="0068596F" w:rsidP="009723F7">
      <w:r>
        <w:lastRenderedPageBreak/>
        <w:t xml:space="preserve">Parte integrante di questa </w:t>
      </w:r>
      <w:proofErr w:type="spellStart"/>
      <w:r>
        <w:t>Traditio</w:t>
      </w:r>
      <w:proofErr w:type="spellEnd"/>
      <w:r>
        <w:t xml:space="preserve">, di questa </w:t>
      </w:r>
      <w:r w:rsidR="00BE3728">
        <w:t xml:space="preserve">interpretazione </w:t>
      </w:r>
      <w:r w:rsidR="00467ABC">
        <w:t xml:space="preserve">rivelativa e </w:t>
      </w:r>
      <w:r w:rsidR="00BE3728">
        <w:t>“</w:t>
      </w:r>
      <w:proofErr w:type="spellStart"/>
      <w:r w:rsidR="00BE3728">
        <w:t>appresentativa</w:t>
      </w:r>
      <w:proofErr w:type="spellEnd"/>
      <w:r w:rsidR="00BE3728">
        <w:t>” dell’evento indisponibile</w:t>
      </w:r>
      <w:r>
        <w:t xml:space="preserve">, </w:t>
      </w:r>
      <w:r w:rsidR="00BE3728">
        <w:t xml:space="preserve"> </w:t>
      </w:r>
      <w:r>
        <w:t>è</w:t>
      </w:r>
      <w:r w:rsidR="00D4541D">
        <w:t xml:space="preserve"> </w:t>
      </w:r>
      <w:r w:rsidR="00BE3728">
        <w:t>la liturgia cristiana</w:t>
      </w:r>
      <w:r w:rsidR="00763454">
        <w:rPr>
          <w:rStyle w:val="Rimandonotaapidipagina"/>
        </w:rPr>
        <w:footnoteReference w:id="13"/>
      </w:r>
      <w:r w:rsidR="00BE3728">
        <w:t xml:space="preserve">. Questa volta non è più solo un </w:t>
      </w:r>
      <w:r w:rsidR="008E7743">
        <w:t>“</w:t>
      </w:r>
      <w:r w:rsidR="00BE3728">
        <w:t>ascoltare</w:t>
      </w:r>
      <w:r w:rsidR="008E7743">
        <w:t>”</w:t>
      </w:r>
      <w:r w:rsidR="00BE3728">
        <w:t xml:space="preserve"> che fa vedere ma è un </w:t>
      </w:r>
      <w:r w:rsidR="008E7743">
        <w:t>“</w:t>
      </w:r>
      <w:r w:rsidR="00E55781">
        <w:t>agire</w:t>
      </w:r>
      <w:r w:rsidR="008E7743">
        <w:t>”</w:t>
      </w:r>
      <w:r w:rsidR="00BE3728">
        <w:t xml:space="preserve"> che fa vedere e toccare. Il rito interpreta e trasmette la Pasqua di Gesù ma soprattutto permette al credente di incontrare fisicamente la Pasqua. Così come l’intero evento di Pasqua e tutta la sua efficacia era stato consegnato alla fragilità di poche parole umane, così viene adesso consegnato alla fragilità di pochi gesti umani</w:t>
      </w:r>
      <w:r w:rsidR="008E7743">
        <w:t xml:space="preserve">. </w:t>
      </w:r>
    </w:p>
    <w:p w:rsidR="00D4541D" w:rsidRDefault="008E7743" w:rsidP="009723F7">
      <w:r>
        <w:t xml:space="preserve">La liturgia non è seconda rispetto </w:t>
      </w:r>
      <w:r w:rsidR="00467ABC">
        <w:t>alle narrazioni evangeliche ma è connaturale ad esse</w:t>
      </w:r>
      <w:r>
        <w:t xml:space="preserve">. </w:t>
      </w:r>
      <w:r w:rsidR="00D30181">
        <w:t xml:space="preserve"> </w:t>
      </w:r>
      <w:r w:rsidR="0037499B">
        <w:t xml:space="preserve">La liturgia include la Parola narrativa, la interpreta ulteriormente, ma al tempo stesso ne è lo spazio privilegiato e spesso lo spazio originante. </w:t>
      </w:r>
      <w:r w:rsidR="00D4541D">
        <w:t xml:space="preserve">La Parola è portata al suo apice quando è proclamata nella liturgia. </w:t>
      </w:r>
      <w:r w:rsidR="00E55781">
        <w:t>Ma</w:t>
      </w:r>
      <w:r w:rsidR="00D4541D">
        <w:t xml:space="preserve"> sempre più spesso l’esegesi degli ultimi decenni ci mostra quanto i testi del Nuovo Testamento presuppongono un retroterra liturgico e ne sono addirittura il frutto. Gli esempi non mancano: il libro dell’Apocalisse può essere </w:t>
      </w:r>
      <w:r w:rsidR="00E55781">
        <w:t>interamente</w:t>
      </w:r>
      <w:r w:rsidR="00D4541D">
        <w:t xml:space="preserve"> interpretato come una liturgia</w:t>
      </w:r>
      <w:r w:rsidR="00763454">
        <w:rPr>
          <w:rStyle w:val="Rimandonotaapidipagina"/>
        </w:rPr>
        <w:footnoteReference w:id="14"/>
      </w:r>
      <w:r w:rsidR="00D4541D">
        <w:t>, numerosissime peric</w:t>
      </w:r>
      <w:r w:rsidR="00E55781">
        <w:t xml:space="preserve">opi giovannee e sinottiche hanno una struttura chiaramente liturgica,… Addirittura il </w:t>
      </w:r>
      <w:r w:rsidR="005519C5">
        <w:t>“</w:t>
      </w:r>
      <w:r w:rsidR="00E55781">
        <w:t xml:space="preserve">corpus </w:t>
      </w:r>
      <w:proofErr w:type="spellStart"/>
      <w:r w:rsidR="00E55781">
        <w:t>paulinum</w:t>
      </w:r>
      <w:proofErr w:type="spellEnd"/>
      <w:r w:rsidR="005519C5">
        <w:t>”</w:t>
      </w:r>
      <w:r w:rsidR="00E55781">
        <w:t xml:space="preserve"> che ancora non conosce la </w:t>
      </w:r>
      <w:proofErr w:type="spellStart"/>
      <w:r w:rsidR="00E55781">
        <w:t>narrativizzazione</w:t>
      </w:r>
      <w:proofErr w:type="spellEnd"/>
      <w:r w:rsidR="00E55781">
        <w:t xml:space="preserve"> del </w:t>
      </w:r>
      <w:r w:rsidR="005519C5">
        <w:t>“</w:t>
      </w:r>
      <w:proofErr w:type="spellStart"/>
      <w:r w:rsidR="00E55781">
        <w:t>kerygma-dogma</w:t>
      </w:r>
      <w:proofErr w:type="spellEnd"/>
      <w:r w:rsidR="005519C5">
        <w:t>”</w:t>
      </w:r>
      <w:r w:rsidR="00E55781">
        <w:t xml:space="preserve"> </w:t>
      </w:r>
      <w:r w:rsidR="001B63E3">
        <w:t xml:space="preserve">è pieno di richiami liturgici e </w:t>
      </w:r>
      <w:r w:rsidR="00E55781">
        <w:t>utilizza solo due volte il linguaggio tecnico e solenne della “</w:t>
      </w:r>
      <w:proofErr w:type="spellStart"/>
      <w:r w:rsidR="00E55781">
        <w:t>paradosis</w:t>
      </w:r>
      <w:proofErr w:type="spellEnd"/>
      <w:r w:rsidR="00E55781">
        <w:t>” (“vi consegno ciò che ho ricevuto”): per il dogma (1Cor 15) e per la frazione del pane (1Cor 11)</w:t>
      </w:r>
      <w:r w:rsidR="005519C5">
        <w:rPr>
          <w:rStyle w:val="Rimandonotaapidipagina"/>
        </w:rPr>
        <w:footnoteReference w:id="15"/>
      </w:r>
      <w:r w:rsidR="00E55781">
        <w:t xml:space="preserve">. Come a dire che </w:t>
      </w:r>
      <w:r w:rsidR="001B63E3">
        <w:t>dogma e liturgia</w:t>
      </w:r>
      <w:r w:rsidR="00E55781">
        <w:t xml:space="preserve"> hanno uguale importanza originaria per il primo cristianesimo.</w:t>
      </w:r>
    </w:p>
    <w:p w:rsidR="00BE3728" w:rsidRDefault="00E55781" w:rsidP="009723F7">
      <w:r>
        <w:t xml:space="preserve">L’azione liturgica </w:t>
      </w:r>
      <w:r w:rsidR="00F17291">
        <w:t xml:space="preserve">come interpretazione e trasmissione dell’evento indisponibile </w:t>
      </w:r>
      <w:r>
        <w:t xml:space="preserve">si articola in parole e segni. </w:t>
      </w:r>
      <w:r w:rsidR="00F17291">
        <w:t xml:space="preserve">Questi segni sono </w:t>
      </w:r>
      <w:r w:rsidR="00467ABC">
        <w:t xml:space="preserve">la combinazione di </w:t>
      </w:r>
      <w:r w:rsidR="00F17291">
        <w:t>elementi presi d</w:t>
      </w:r>
      <w:r w:rsidR="00467ABC">
        <w:t>alla natura e</w:t>
      </w:r>
      <w:r w:rsidR="00F17291">
        <w:t xml:space="preserve"> di gesti</w:t>
      </w:r>
      <w:r w:rsidR="00467ABC">
        <w:t xml:space="preserve"> del corpo umano</w:t>
      </w:r>
      <w:r w:rsidR="00F17291">
        <w:t xml:space="preserve">. Tutto ciò parla di una nuova dimensione: lo spazio. </w:t>
      </w:r>
      <w:r w:rsidR="0037499B">
        <w:t xml:space="preserve">Se con la narrazione evangelica il </w:t>
      </w:r>
      <w:proofErr w:type="spellStart"/>
      <w:r w:rsidR="0037499B">
        <w:t>kerygma-dogma</w:t>
      </w:r>
      <w:proofErr w:type="spellEnd"/>
      <w:r w:rsidR="0037499B">
        <w:t xml:space="preserve"> entra nel tempo, con la litu</w:t>
      </w:r>
      <w:r w:rsidR="00D4541D">
        <w:t>rgia esso entra nello spazio, p</w:t>
      </w:r>
      <w:r w:rsidR="0037499B">
        <w:t xml:space="preserve">ur </w:t>
      </w:r>
      <w:r w:rsidR="00D4541D">
        <w:t>rimanendo</w:t>
      </w:r>
      <w:r w:rsidR="0037499B">
        <w:t xml:space="preserve"> ritmato da un tempo. La liturgia è quel tempo che necessita uno spazio perché l’incontro con la Pasqua sia nel tempo e nello spazio, cioè nel corpo.</w:t>
      </w:r>
      <w:r w:rsidR="00D4541D">
        <w:t xml:space="preserve"> Con la liturgia, </w:t>
      </w:r>
      <w:r w:rsidR="0068596F">
        <w:t>la Rivelazione è anche uno spazio</w:t>
      </w:r>
      <w:r w:rsidR="00F17291">
        <w:t xml:space="preserve">. </w:t>
      </w:r>
    </w:p>
    <w:p w:rsidR="00D02961" w:rsidRDefault="00D02961" w:rsidP="009723F7">
      <w:r>
        <w:t xml:space="preserve">Come era successo per la narrazione evangelica, </w:t>
      </w:r>
      <w:r w:rsidR="0001645E">
        <w:t xml:space="preserve">gli oggetti e i gesti della liturgia sono presi dal vasto repertorio naturale e umano. Ma in questo contesto essi “contengono la Pasqua di Cristo” o per dirla con </w:t>
      </w:r>
      <w:proofErr w:type="spellStart"/>
      <w:r w:rsidR="0001645E">
        <w:t>Cabasilas</w:t>
      </w:r>
      <w:proofErr w:type="spellEnd"/>
      <w:r w:rsidR="0001645E">
        <w:t>, sono le “finestre del cielo”</w:t>
      </w:r>
      <w:r w:rsidR="005519C5">
        <w:rPr>
          <w:rStyle w:val="Rimandonotaapidipagina"/>
        </w:rPr>
        <w:footnoteReference w:id="16"/>
      </w:r>
      <w:r w:rsidR="00F41BC4">
        <w:t>, cioè fanno vedere l’Indisponibile</w:t>
      </w:r>
      <w:r w:rsidR="0001645E">
        <w:t>. Al tempo stesso, in modo analogo ai vangeli, la liturgia esprime il contesto vitale di una comunità ed è fondamentalmente la testimonianza della fede di una comunità.</w:t>
      </w:r>
    </w:p>
    <w:p w:rsidR="00AD526C" w:rsidRDefault="00AD526C" w:rsidP="009723F7">
      <w:r>
        <w:t xml:space="preserve">Se la liturgia è la </w:t>
      </w:r>
      <w:r w:rsidR="001B63E3">
        <w:t>“</w:t>
      </w:r>
      <w:proofErr w:type="spellStart"/>
      <w:r>
        <w:t>transignificazione</w:t>
      </w:r>
      <w:proofErr w:type="spellEnd"/>
      <w:r w:rsidR="001B63E3">
        <w:t>”</w:t>
      </w:r>
      <w:r>
        <w:t xml:space="preserve"> dello spazio in </w:t>
      </w:r>
      <w:r w:rsidR="00F41BC4">
        <w:t>visione dell’Indisponibile</w:t>
      </w:r>
      <w:r w:rsidR="00472BD7">
        <w:t xml:space="preserve">, allora è normale che appena le è stato possibile, la comunità cristiana ha operato una </w:t>
      </w:r>
      <w:r w:rsidR="001B63E3">
        <w:t>“</w:t>
      </w:r>
      <w:proofErr w:type="spellStart"/>
      <w:r w:rsidR="00472BD7">
        <w:t>trans</w:t>
      </w:r>
      <w:r w:rsidR="00F41BC4">
        <w:t>ignificazione</w:t>
      </w:r>
      <w:proofErr w:type="spellEnd"/>
      <w:r w:rsidR="001B63E3">
        <w:t>”</w:t>
      </w:r>
      <w:r w:rsidR="00F41BC4">
        <w:t xml:space="preserve"> della cornice spaziale</w:t>
      </w:r>
      <w:r w:rsidR="00472BD7">
        <w:t xml:space="preserve"> in cu</w:t>
      </w:r>
      <w:r w:rsidR="0068596F">
        <w:t>i si svolge la liturgia. L</w:t>
      </w:r>
      <w:r w:rsidR="00472BD7">
        <w:t>o spazio architettonico, uno dei tanti che la cultura del tempo mette a disposizione, diventa uno spazio pre</w:t>
      </w:r>
      <w:r w:rsidR="001B63E3">
        <w:t>ciso che interpreta e trasmette</w:t>
      </w:r>
      <w:r w:rsidR="00950E0C">
        <w:t xml:space="preserve"> </w:t>
      </w:r>
      <w:r w:rsidR="00F41BC4">
        <w:t>quel “vedere”</w:t>
      </w:r>
      <w:r w:rsidR="00472BD7">
        <w:t xml:space="preserve">. </w:t>
      </w:r>
      <w:r w:rsidR="00F41BC4">
        <w:t>E’ l’ennesimo sviluppo di quel germinale “</w:t>
      </w:r>
      <w:proofErr w:type="spellStart"/>
      <w:r w:rsidR="00F41BC4">
        <w:t>oftè</w:t>
      </w:r>
      <w:proofErr w:type="spellEnd"/>
      <w:r w:rsidR="00F41BC4">
        <w:t xml:space="preserve">”. </w:t>
      </w:r>
      <w:r w:rsidR="00472BD7">
        <w:t>E al tempo stesso questo spazio liturgico diventa –come la Scrittura e come la liturgia- la testimonianza della fede della comunità.</w:t>
      </w:r>
      <w:r w:rsidR="0068596F">
        <w:t xml:space="preserve"> La materialità dello spazio liturgico è così assunto nel processo di trasmissione-interpretazione di quel originario vedere indisponibile.</w:t>
      </w:r>
    </w:p>
    <w:p w:rsidR="00950E0C" w:rsidRDefault="00472BD7" w:rsidP="009723F7">
      <w:r>
        <w:t xml:space="preserve">Già ben prima dell’editto di Milano, le </w:t>
      </w:r>
      <w:r w:rsidR="00EB71B5">
        <w:t>“</w:t>
      </w:r>
      <w:proofErr w:type="spellStart"/>
      <w:r>
        <w:t>domus</w:t>
      </w:r>
      <w:proofErr w:type="spellEnd"/>
      <w:r>
        <w:t xml:space="preserve"> </w:t>
      </w:r>
      <w:proofErr w:type="spellStart"/>
      <w:r>
        <w:t>ecclesiae</w:t>
      </w:r>
      <w:proofErr w:type="spellEnd"/>
      <w:r w:rsidR="00EB71B5">
        <w:t>”</w:t>
      </w:r>
      <w:r>
        <w:t xml:space="preserve"> sono caratterizzate sia nella struttura che soprattutto nella decorazione. </w:t>
      </w:r>
      <w:r w:rsidR="00950E0C">
        <w:t xml:space="preserve">Le figure rappresentate sono la prosecuzione naturale di quell’ingresso nello </w:t>
      </w:r>
      <w:r w:rsidR="00950E0C">
        <w:lastRenderedPageBreak/>
        <w:t xml:space="preserve">spazio che la liturgia offre alla Pasqua. Un esempio ben noto sono gli affreschi di Dura Europos che ci consegnano la comprensione del battesimo di quella comunità del III secolo. Lo spazio e l’immagine non sono solo didascalie ma fanno parte dell’azione liturgica. Fanno parte </w:t>
      </w:r>
      <w:r w:rsidR="0068596F">
        <w:t>della</w:t>
      </w:r>
      <w:r w:rsidR="00950E0C">
        <w:t xml:space="preserve"> “</w:t>
      </w:r>
      <w:proofErr w:type="spellStart"/>
      <w:r w:rsidR="00950E0C">
        <w:t>paradosis</w:t>
      </w:r>
      <w:proofErr w:type="spellEnd"/>
      <w:r w:rsidR="00950E0C">
        <w:t>”.</w:t>
      </w:r>
      <w:r w:rsidR="00F41BC4">
        <w:t xml:space="preserve"> </w:t>
      </w:r>
    </w:p>
    <w:p w:rsidR="00472BD7" w:rsidRDefault="00950E0C" w:rsidP="009723F7">
      <w:r>
        <w:t>Si può dire che lo stesso passaggio epocale avvenuto alla fine del II secolo fra i graffiti e l’arte figurativa cristiana ha come motivo unico proprio la “</w:t>
      </w:r>
      <w:proofErr w:type="spellStart"/>
      <w:r>
        <w:t>paradosis</w:t>
      </w:r>
      <w:proofErr w:type="spellEnd"/>
      <w:r>
        <w:t>”, l’interpretare e il trasmettere la fede</w:t>
      </w:r>
      <w:r w:rsidR="00EB71B5">
        <w:rPr>
          <w:rStyle w:val="Rimandonotaapidipagina"/>
        </w:rPr>
        <w:footnoteReference w:id="17"/>
      </w:r>
      <w:r>
        <w:t xml:space="preserve">. E tutto quello che abbiamo detto per il dogma, la Scrittura e la liturgia, può dirsi analogamente per l’arte cristiana. </w:t>
      </w:r>
      <w:r w:rsidR="007B41FD">
        <w:t xml:space="preserve">E’ una </w:t>
      </w:r>
      <w:r w:rsidR="001B63E3">
        <w:t>“</w:t>
      </w:r>
      <w:proofErr w:type="spellStart"/>
      <w:r w:rsidR="007B41FD">
        <w:t>transignificaz</w:t>
      </w:r>
      <w:r w:rsidR="00F41BC4">
        <w:t>ione</w:t>
      </w:r>
      <w:proofErr w:type="spellEnd"/>
      <w:r w:rsidR="001B63E3">
        <w:t>”</w:t>
      </w:r>
      <w:r w:rsidR="00F41BC4">
        <w:t xml:space="preserve"> di elementi già esistenti nella natura e n</w:t>
      </w:r>
      <w:r w:rsidR="007B41FD">
        <w:t>ella cultura (vedi tutti i temi dell’arte pagana riutilizzati nell’arte cristiana)</w:t>
      </w:r>
      <w:r>
        <w:t xml:space="preserve">. </w:t>
      </w:r>
      <w:r w:rsidR="007B41FD">
        <w:t xml:space="preserve">E’ un modo di interpretare e di trasmettere l’indisponibile evento di Pasqua. </w:t>
      </w:r>
      <w:r>
        <w:t xml:space="preserve">E’ un modo di far vedere </w:t>
      </w:r>
      <w:r w:rsidR="009F0B31">
        <w:t xml:space="preserve">come con mille specchi ciò che all’origine della fede è stato visto. E’ un modo per ricevere la testimonianza della fede </w:t>
      </w:r>
      <w:r w:rsidR="006605A7">
        <w:t>della comunità</w:t>
      </w:r>
      <w:r w:rsidR="001B63E3">
        <w:t>. I</w:t>
      </w:r>
      <w:r w:rsidR="009F0B31">
        <w:t>n definitiva è un modo per “edificare la comunione ecclesiale”. Si può dire che lo scopo dell’edificazione di una chiesa è l’edificazione della Chiesa. La chiesa fatta di pietre è nel fondo una testimonianza, una “</w:t>
      </w:r>
      <w:proofErr w:type="spellStart"/>
      <w:r w:rsidR="009F0B31">
        <w:t>martyria</w:t>
      </w:r>
      <w:proofErr w:type="spellEnd"/>
      <w:r w:rsidR="009F0B31">
        <w:t>”. Non è per vanagloria (o non solo) che i costruttori delle chiese sono a volte rappresentati alla pari dei martiri</w:t>
      </w:r>
      <w:r w:rsidR="00F41BC4">
        <w:t xml:space="preserve"> (vedi San Vitale a Ravenna)</w:t>
      </w:r>
      <w:r w:rsidR="009F0B31">
        <w:t>.</w:t>
      </w:r>
    </w:p>
    <w:p w:rsidR="006605A7" w:rsidRDefault="006605A7" w:rsidP="009723F7">
      <w:r>
        <w:t>In altre parole, l’arte cristiana è la trasmissione interpretativa di un vedere, questa volta non attraverso la parola, non attraverso segni e gesti, ma attraverso l’immagine e le forme architettoniche. L’arte sacra cristiana vuole trasmettere un vedere attraverso una altro vedere. E in questo è continuamente a rischio di “cortocircuito”. Per fare entrare in relazione con “Colui che si è fatto vedere”, l’arte cristiana propone un’altra esperienza di visibilità. Ne capiamo subito il pericolo ma ne capiamo anche la straordinaria portata.</w:t>
      </w:r>
      <w:r w:rsidR="00D90E99">
        <w:t xml:space="preserve"> Come la Parola trasmetteva una visione, adesso la visione deve trasmettere “un’Altra visione”.</w:t>
      </w:r>
    </w:p>
    <w:p w:rsidR="007C69FF" w:rsidRDefault="007C69FF" w:rsidP="009723F7">
      <w:r>
        <w:t>L’avvento dell’arte cristiana è un evento della “</w:t>
      </w:r>
      <w:proofErr w:type="spellStart"/>
      <w:r>
        <w:t>paradosis</w:t>
      </w:r>
      <w:proofErr w:type="spellEnd"/>
      <w:r>
        <w:t xml:space="preserve">” analogo all’invenzione  del genere letterario “Vangelo” o alla formazione dei riti cristiani. L’arte suppone la Parola e la liturgia </w:t>
      </w:r>
      <w:r w:rsidR="00B24483">
        <w:t>e ne è uno sviluppo organico che li</w:t>
      </w:r>
      <w:r>
        <w:t xml:space="preserve"> interpreta, </w:t>
      </w:r>
      <w:r w:rsidR="00B24483">
        <w:t xml:space="preserve">li trasmette, e interagisce con loro. </w:t>
      </w:r>
      <w:r>
        <w:t xml:space="preserve">L’arte cristiana è nata dalla preghiera della comunità e </w:t>
      </w:r>
      <w:r w:rsidR="00B24483">
        <w:t xml:space="preserve">per la preghiera della comunità. Essa </w:t>
      </w:r>
      <w:r>
        <w:t>diventa parte di quella preghiera. La “</w:t>
      </w:r>
      <w:proofErr w:type="spellStart"/>
      <w:r>
        <w:t>paradosis</w:t>
      </w:r>
      <w:proofErr w:type="spellEnd"/>
      <w:r>
        <w:t>” della Pasqua si svolge in una triangolazione rivelati</w:t>
      </w:r>
      <w:r w:rsidR="00B24483">
        <w:t>va tra Parola, liturgia e arte, dove t</w:t>
      </w:r>
      <w:r>
        <w:t xml:space="preserve">utti e tre i poli si interpretano a vicenda. </w:t>
      </w:r>
    </w:p>
    <w:p w:rsidR="00D2131C" w:rsidRDefault="00B24483" w:rsidP="009723F7">
      <w:r>
        <w:t xml:space="preserve">Nelle immagini sacre il credente  incontra l’interpretazione dell’azione liturgica, della Parola e in definitiva dell’Indisponibile visione di Pasqua. </w:t>
      </w:r>
      <w:r w:rsidR="00A4153D">
        <w:t xml:space="preserve">Le immagine sacre </w:t>
      </w:r>
      <w:r w:rsidR="00D2131C">
        <w:t>ricevono tutta la loro pregnanza da questo circolo ermeneutico</w:t>
      </w:r>
      <w:r w:rsidR="00815161">
        <w:rPr>
          <w:rStyle w:val="Rimandonotaapidipagina"/>
        </w:rPr>
        <w:footnoteReference w:id="18"/>
      </w:r>
      <w:r w:rsidR="00D2131C">
        <w:t>. Perciò tanti testi della Scrittura e tanti elementi della liturgia, messi in relazione con l’arte e l’architettura cristiane ricevono un’ulteriore e sorprendente profondità e viceversa</w:t>
      </w:r>
      <w:r w:rsidR="00A4153D">
        <w:t xml:space="preserve">. </w:t>
      </w:r>
    </w:p>
    <w:p w:rsidR="00A4153D" w:rsidRDefault="00B24483" w:rsidP="009723F7">
      <w:r>
        <w:t xml:space="preserve">L’arte cristiana è la proiezione sul “maxischermo” dello spazio di quell’incontro con l’Indisponibile. Perciò  </w:t>
      </w:r>
      <w:proofErr w:type="spellStart"/>
      <w:r>
        <w:t>Florenskj</w:t>
      </w:r>
      <w:proofErr w:type="spellEnd"/>
      <w:r>
        <w:t xml:space="preserve"> ha potuto dire dell’icona che è la “cornice di un incontro”</w:t>
      </w:r>
      <w:r w:rsidR="00A4153D">
        <w:t>. R</w:t>
      </w:r>
      <w:r>
        <w:t>icevendo queste interpretazioni</w:t>
      </w:r>
      <w:r w:rsidR="00A4153D">
        <w:t xml:space="preserve"> visive dell’”</w:t>
      </w:r>
      <w:proofErr w:type="spellStart"/>
      <w:r w:rsidR="00A4153D">
        <w:t>oftè</w:t>
      </w:r>
      <w:proofErr w:type="spellEnd"/>
      <w:r w:rsidR="00A4153D">
        <w:t xml:space="preserve">”, il fedele riceve anche il vedere dell’artista o della comunità committente. </w:t>
      </w:r>
      <w:r w:rsidR="005968AC">
        <w:t xml:space="preserve">L’artista è come un “martire”, perché vede e trasmette il suo vedere. </w:t>
      </w:r>
      <w:r w:rsidR="00A4153D">
        <w:t>L’opera d’arte cristiana è la preghiera dell’artista o della comunità resa visibile, consegnata alla visibilità, condivisa</w:t>
      </w:r>
      <w:r w:rsidR="00815161">
        <w:rPr>
          <w:rStyle w:val="Rimandonotaapidipagina"/>
        </w:rPr>
        <w:footnoteReference w:id="19"/>
      </w:r>
      <w:r w:rsidR="00A4153D">
        <w:t xml:space="preserve">. Perciò l’immagine “edifica la Chiesa” ed è strumento di comunione, sincronica e diacronica. </w:t>
      </w:r>
    </w:p>
    <w:p w:rsidR="00B24483" w:rsidRDefault="001B63E3" w:rsidP="009723F7">
      <w:r>
        <w:t xml:space="preserve">In modo più “visibile” rispetto alla liturgia, </w:t>
      </w:r>
      <w:r w:rsidR="009B3AE4">
        <w:t>l’immagine usa elementi della storia umana e della natura, e spalanca così l’interpretazione della Pasqua alla storia e all’intera creazione. In questo caso la “</w:t>
      </w:r>
      <w:proofErr w:type="spellStart"/>
      <w:r w:rsidR="009B3AE4">
        <w:t>paradosis</w:t>
      </w:r>
      <w:proofErr w:type="spellEnd"/>
      <w:r w:rsidR="009B3AE4">
        <w:t xml:space="preserve">” </w:t>
      </w:r>
      <w:r>
        <w:t>viene chiamata</w:t>
      </w:r>
      <w:r w:rsidR="009B3AE4">
        <w:t xml:space="preserve"> “inculturazione”, </w:t>
      </w:r>
      <w:r>
        <w:t>ma è lo stesso</w:t>
      </w:r>
      <w:r w:rsidR="009B3AE4">
        <w:t xml:space="preserve"> processo rivelativo dell’unico evento originario. L’immagine </w:t>
      </w:r>
      <w:r w:rsidR="009B3AE4">
        <w:lastRenderedPageBreak/>
        <w:t>diventa così “memoria visiva” e al tempo stesso illuminazione per poter vedere la storia</w:t>
      </w:r>
      <w:r w:rsidR="00D2131C">
        <w:t xml:space="preserve"> e la creazione. I</w:t>
      </w:r>
      <w:r w:rsidR="009B3AE4">
        <w:t xml:space="preserve">l “vedere” di Pasqua </w:t>
      </w:r>
      <w:r w:rsidR="00D2131C">
        <w:t xml:space="preserve">si allarga allora </w:t>
      </w:r>
      <w:r w:rsidR="009B3AE4">
        <w:t>a tutta la storia e a tutta la creazione</w:t>
      </w:r>
      <w:r w:rsidR="00815161">
        <w:rPr>
          <w:rStyle w:val="Rimandonotaapidipagina"/>
        </w:rPr>
        <w:footnoteReference w:id="20"/>
      </w:r>
      <w:r w:rsidR="009B3AE4">
        <w:t xml:space="preserve">. </w:t>
      </w:r>
      <w:r w:rsidR="006969FF">
        <w:t xml:space="preserve">Quel “vedere indisponibile” è adesso “tutto”. </w:t>
      </w:r>
      <w:r w:rsidR="009B3AE4">
        <w:t xml:space="preserve">E </w:t>
      </w:r>
      <w:r w:rsidR="00D2131C">
        <w:t>possiamo</w:t>
      </w:r>
      <w:r w:rsidR="009B3AE4">
        <w:t xml:space="preserve"> dire con il salmista: “Come è grande il tuo Nome su tutta la terra”. </w:t>
      </w:r>
    </w:p>
    <w:p w:rsidR="00D2131C" w:rsidRDefault="00D2131C" w:rsidP="009723F7">
      <w:r>
        <w:t>Riassumendo proponiamo le seguenti tesi:</w:t>
      </w:r>
    </w:p>
    <w:p w:rsidR="00D2131C" w:rsidRDefault="00D2131C" w:rsidP="00D2131C">
      <w:pPr>
        <w:pStyle w:val="Paragrafoelenco"/>
        <w:numPr>
          <w:ilvl w:val="0"/>
          <w:numId w:val="1"/>
        </w:numPr>
      </w:pPr>
      <w:r>
        <w:t>L’arte cristiana fa parte del processo di Tradizione, in continuità con la Scrittura e la liturgia.</w:t>
      </w:r>
    </w:p>
    <w:p w:rsidR="00366856" w:rsidRDefault="00366856" w:rsidP="00D2131C">
      <w:pPr>
        <w:pStyle w:val="Paragrafoelenco"/>
        <w:numPr>
          <w:ilvl w:val="0"/>
          <w:numId w:val="1"/>
        </w:numPr>
      </w:pPr>
      <w:r>
        <w:t>L’arte cristiana nasce dalla preghiera della comunità e ne diventa interpretazione e cornice.</w:t>
      </w:r>
    </w:p>
    <w:p w:rsidR="00D2131C" w:rsidRDefault="00D2131C" w:rsidP="00D2131C">
      <w:pPr>
        <w:pStyle w:val="Paragrafoelenco"/>
        <w:numPr>
          <w:ilvl w:val="0"/>
          <w:numId w:val="1"/>
        </w:numPr>
      </w:pPr>
      <w:r>
        <w:t xml:space="preserve">L’ermeneutica dell’arte cristiana </w:t>
      </w:r>
      <w:r w:rsidR="00366856">
        <w:t>deve considerare le seguenti dimensioni: è immagine della Pasqua, è immagine della Parola, è immagine della liturgia, è immagine</w:t>
      </w:r>
      <w:r w:rsidR="001B63E3">
        <w:t xml:space="preserve"> della storia e della creazione.</w:t>
      </w:r>
    </w:p>
    <w:p w:rsidR="00D33CC6" w:rsidRDefault="00366856">
      <w:r>
        <w:t>E arrivia</w:t>
      </w:r>
      <w:r w:rsidR="00780769">
        <w:t>mo alla seguente conclusione. I</w:t>
      </w:r>
      <w:r>
        <w:t xml:space="preserve"> </w:t>
      </w:r>
      <w:r w:rsidR="005C2D10">
        <w:t>testi del Vangelo si possono</w:t>
      </w:r>
      <w:r>
        <w:t xml:space="preserve"> analizzare con diversissime chiavi ermeneutiche: psicanalisi, sociologia, filosofia politica, storia delle religioni, antropologia culturale, storia della lingua greca, storia della letteratura ellenistica, </w:t>
      </w:r>
      <w:proofErr w:type="spellStart"/>
      <w:r>
        <w:t>ecc…</w:t>
      </w:r>
      <w:proofErr w:type="spellEnd"/>
      <w:r>
        <w:t xml:space="preserve"> E tutte queste chiavi ermeneutiche arricchiscono la comprensione del testo. Ma </w:t>
      </w:r>
      <w:proofErr w:type="spellStart"/>
      <w:r>
        <w:t>Gadamer</w:t>
      </w:r>
      <w:proofErr w:type="spellEnd"/>
      <w:r>
        <w:t xml:space="preserve"> e l’ermeneutica contemporanea ci insegnano che non possiamo fare a meno di immergerci nell’orizzonte che ha generato l’opera. In questo caso </w:t>
      </w:r>
      <w:r w:rsidR="005C2D10">
        <w:t xml:space="preserve">è </w:t>
      </w:r>
      <w:r>
        <w:t xml:space="preserve">l’orizzonte </w:t>
      </w:r>
      <w:r w:rsidR="005C2D10">
        <w:t xml:space="preserve">orante </w:t>
      </w:r>
      <w:r>
        <w:t xml:space="preserve">di una comunità di credenti. E’ </w:t>
      </w:r>
      <w:r w:rsidR="005C2D10">
        <w:t>quell’orizzonte che rivela pienamente il senso del testo perché è l’orizzonte connaturale al testo. In modo simile possiamo ragionare per l’arte cristiana. Un’ermeneutica che non considera l’orizzonte di fede che l’ha generata non è un’ermeneutica scientifica. Tutto il processo della “</w:t>
      </w:r>
      <w:proofErr w:type="spellStart"/>
      <w:r w:rsidR="005C2D10">
        <w:t>paradosis</w:t>
      </w:r>
      <w:proofErr w:type="spellEnd"/>
      <w:r w:rsidR="005C2D10">
        <w:t>” che abbiamo descritto è la condizione di possibilità per situare un’ermeneutica dell’arte cristiana.</w:t>
      </w:r>
      <w:r w:rsidR="00D90E99">
        <w:t xml:space="preserve"> La straordinaria fecondità dell’arte cristiana nasce da quell’originario “non poter vedere”. Dimenticare quel suo motivo originante è non coglierne l’essenza.</w:t>
      </w:r>
      <w:r w:rsidR="00084DF0">
        <w:tab/>
      </w:r>
      <w:r w:rsidR="00D90E99">
        <w:tab/>
      </w:r>
      <w:r w:rsidR="00D90E99">
        <w:tab/>
      </w:r>
    </w:p>
    <w:p w:rsidR="00D33CC6" w:rsidRDefault="00D33CC6"/>
    <w:p w:rsidR="00B70B0F" w:rsidRDefault="00C375A3" w:rsidP="00D33CC6">
      <w:pPr>
        <w:ind w:left="7080"/>
      </w:pPr>
      <w:proofErr w:type="spellStart"/>
      <w:r>
        <w:t>Jean-Paul</w:t>
      </w:r>
      <w:proofErr w:type="spellEnd"/>
      <w:r>
        <w:t xml:space="preserve"> </w:t>
      </w:r>
      <w:proofErr w:type="spellStart"/>
      <w:r>
        <w:t>Hern</w:t>
      </w:r>
      <w:r>
        <w:rPr>
          <w:rFonts w:cstheme="minorHAnsi"/>
        </w:rPr>
        <w:t>á</w:t>
      </w:r>
      <w:r>
        <w:t>ndez</w:t>
      </w:r>
      <w:proofErr w:type="spellEnd"/>
      <w:r>
        <w:t xml:space="preserve"> SJ</w:t>
      </w:r>
    </w:p>
    <w:sectPr w:rsidR="00B70B0F" w:rsidSect="00E564D7">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DA9" w:rsidRDefault="009B6DA9" w:rsidP="00602D5D">
      <w:pPr>
        <w:spacing w:after="0" w:line="240" w:lineRule="auto"/>
      </w:pPr>
      <w:r>
        <w:separator/>
      </w:r>
    </w:p>
  </w:endnote>
  <w:endnote w:type="continuationSeparator" w:id="0">
    <w:p w:rsidR="009B6DA9" w:rsidRDefault="009B6DA9" w:rsidP="00602D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onciniGaramond">
    <w:panose1 w:val="00000000000000000000"/>
    <w:charset w:val="00"/>
    <w:family w:val="roman"/>
    <w:notTrueType/>
    <w:pitch w:val="default"/>
    <w:sig w:usb0="00000003" w:usb1="00000000" w:usb2="00000000" w:usb3="00000000" w:csb0="00000001" w:csb1="00000000"/>
  </w:font>
  <w:font w:name="SimonciniGaramon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922143"/>
      <w:docPartObj>
        <w:docPartGallery w:val="Page Numbers (Bottom of Page)"/>
        <w:docPartUnique/>
      </w:docPartObj>
    </w:sdtPr>
    <w:sdtContent>
      <w:p w:rsidR="00602D5D" w:rsidRDefault="00E564D7">
        <w:pPr>
          <w:pStyle w:val="Pidipagina"/>
          <w:jc w:val="right"/>
        </w:pPr>
        <w:r>
          <w:fldChar w:fldCharType="begin"/>
        </w:r>
        <w:r w:rsidR="00602D5D">
          <w:instrText>PAGE   \* MERGEFORMAT</w:instrText>
        </w:r>
        <w:r>
          <w:fldChar w:fldCharType="separate"/>
        </w:r>
        <w:r w:rsidR="00780769">
          <w:rPr>
            <w:noProof/>
          </w:rPr>
          <w:t>1</w:t>
        </w:r>
        <w:r>
          <w:fldChar w:fldCharType="end"/>
        </w:r>
      </w:p>
    </w:sdtContent>
  </w:sdt>
  <w:p w:rsidR="00602D5D" w:rsidRDefault="00602D5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DA9" w:rsidRDefault="009B6DA9" w:rsidP="00602D5D">
      <w:pPr>
        <w:spacing w:after="0" w:line="240" w:lineRule="auto"/>
      </w:pPr>
      <w:r>
        <w:separator/>
      </w:r>
    </w:p>
  </w:footnote>
  <w:footnote w:type="continuationSeparator" w:id="0">
    <w:p w:rsidR="009B6DA9" w:rsidRDefault="009B6DA9" w:rsidP="00602D5D">
      <w:pPr>
        <w:spacing w:after="0" w:line="240" w:lineRule="auto"/>
      </w:pPr>
      <w:r>
        <w:continuationSeparator/>
      </w:r>
    </w:p>
  </w:footnote>
  <w:footnote w:id="1">
    <w:p w:rsidR="006F74C6" w:rsidRPr="00780769" w:rsidRDefault="006F74C6" w:rsidP="006F74C6">
      <w:pPr>
        <w:autoSpaceDE w:val="0"/>
        <w:autoSpaceDN w:val="0"/>
        <w:adjustRightInd w:val="0"/>
        <w:spacing w:after="0" w:line="240" w:lineRule="auto"/>
        <w:rPr>
          <w:rFonts w:ascii="SimonciniGaramond" w:hAnsi="SimonciniGaramond" w:cs="SimonciniGaramond"/>
          <w:sz w:val="20"/>
          <w:szCs w:val="20"/>
          <w:lang w:val="en-US"/>
        </w:rPr>
      </w:pPr>
      <w:r>
        <w:rPr>
          <w:rStyle w:val="Rimandonotaapidipagina"/>
        </w:rPr>
        <w:footnoteRef/>
      </w:r>
      <w:r w:rsidRPr="00780769">
        <w:rPr>
          <w:lang w:val="fr-FR"/>
        </w:rPr>
        <w:t xml:space="preserve"> Cf. </w:t>
      </w:r>
      <w:r w:rsidRPr="00780769">
        <w:rPr>
          <w:rFonts w:ascii="SimonciniGaramond" w:hAnsi="SimonciniGaramond" w:cs="SimonciniGaramond"/>
          <w:sz w:val="18"/>
          <w:szCs w:val="18"/>
          <w:lang w:val="fr-FR"/>
        </w:rPr>
        <w:t>A.M. B</w:t>
      </w:r>
      <w:r w:rsidRPr="00780769">
        <w:rPr>
          <w:rFonts w:ascii="SimonciniGaramond" w:hAnsi="SimonciniGaramond" w:cs="SimonciniGaramond"/>
          <w:sz w:val="13"/>
          <w:szCs w:val="13"/>
          <w:lang w:val="fr-FR"/>
        </w:rPr>
        <w:t>ESNARD</w:t>
      </w:r>
      <w:r w:rsidRPr="00780769">
        <w:rPr>
          <w:rFonts w:ascii="SimonciniGaramond" w:hAnsi="SimonciniGaramond" w:cs="SimonciniGaramond"/>
          <w:sz w:val="18"/>
          <w:szCs w:val="18"/>
          <w:lang w:val="fr-FR"/>
        </w:rPr>
        <w:t xml:space="preserve">, </w:t>
      </w:r>
      <w:r w:rsidRPr="00780769">
        <w:rPr>
          <w:rFonts w:ascii="SimonciniGaramond-Italic" w:hAnsi="SimonciniGaramond-Italic" w:cs="SimonciniGaramond-Italic"/>
          <w:i/>
          <w:iCs/>
          <w:sz w:val="18"/>
          <w:szCs w:val="18"/>
          <w:lang w:val="fr-FR"/>
        </w:rPr>
        <w:t>Le mystère du Nom</w:t>
      </w:r>
      <w:r w:rsidRPr="00780769">
        <w:rPr>
          <w:rFonts w:ascii="SimonciniGaramond" w:hAnsi="SimonciniGaramond" w:cs="SimonciniGaramond"/>
          <w:sz w:val="18"/>
          <w:szCs w:val="18"/>
          <w:lang w:val="fr-FR"/>
        </w:rPr>
        <w:t xml:space="preserve">, Paris 1962, 175-179 e </w:t>
      </w:r>
      <w:r w:rsidRPr="00780769">
        <w:rPr>
          <w:rFonts w:ascii="SimonciniGaramond" w:hAnsi="SimonciniGaramond" w:cs="SimonciniGaramond"/>
          <w:sz w:val="20"/>
          <w:szCs w:val="20"/>
          <w:lang w:val="fr-FR"/>
        </w:rPr>
        <w:t>W. H</w:t>
      </w:r>
      <w:r w:rsidRPr="00780769">
        <w:rPr>
          <w:rFonts w:ascii="SimonciniGaramond" w:hAnsi="SimonciniGaramond" w:cs="SimonciniGaramond"/>
          <w:sz w:val="14"/>
          <w:szCs w:val="14"/>
          <w:lang w:val="fr-FR"/>
        </w:rPr>
        <w:t>EITMÜLLER</w:t>
      </w:r>
      <w:r w:rsidRPr="00780769">
        <w:rPr>
          <w:rFonts w:ascii="SimonciniGaramond" w:hAnsi="SimonciniGaramond" w:cs="SimonciniGaramond"/>
          <w:sz w:val="20"/>
          <w:szCs w:val="20"/>
          <w:lang w:val="fr-FR"/>
        </w:rPr>
        <w:t xml:space="preserve">, </w:t>
      </w:r>
      <w:r w:rsidRPr="00780769">
        <w:rPr>
          <w:rFonts w:ascii="SimonciniGaramond-Italic" w:hAnsi="SimonciniGaramond-Italic" w:cs="SimonciniGaramond-Italic"/>
          <w:i/>
          <w:iCs/>
          <w:sz w:val="20"/>
          <w:szCs w:val="20"/>
          <w:lang w:val="fr-FR"/>
        </w:rPr>
        <w:t>“Im Namen Jesu”</w:t>
      </w:r>
      <w:r w:rsidRPr="00780769">
        <w:rPr>
          <w:rFonts w:ascii="SimonciniGaramond" w:hAnsi="SimonciniGaramond" w:cs="SimonciniGaramond"/>
          <w:sz w:val="20"/>
          <w:szCs w:val="20"/>
          <w:lang w:val="fr-FR"/>
        </w:rPr>
        <w:t xml:space="preserve">. </w:t>
      </w:r>
      <w:r w:rsidRPr="00780769">
        <w:rPr>
          <w:rFonts w:ascii="SimonciniGaramond" w:hAnsi="SimonciniGaramond" w:cs="SimonciniGaramond"/>
          <w:sz w:val="20"/>
          <w:szCs w:val="20"/>
          <w:lang w:val="en-US"/>
        </w:rPr>
        <w:t>Eine sprach- und religionsgeschichtliche Untersuchung zum Neuen Testament, speziell zur altchristlichen Taufe, Göttingen 1903, 154ss.</w:t>
      </w:r>
    </w:p>
  </w:footnote>
  <w:footnote w:id="2">
    <w:p w:rsidR="00654039" w:rsidRPr="00780769" w:rsidRDefault="00654039">
      <w:pPr>
        <w:pStyle w:val="Testonotaapidipagina"/>
        <w:rPr>
          <w:lang w:val="fr-FR"/>
        </w:rPr>
      </w:pPr>
      <w:r>
        <w:rPr>
          <w:rStyle w:val="Rimandonotaapidipagina"/>
        </w:rPr>
        <w:footnoteRef/>
      </w:r>
      <w:r w:rsidRPr="00780769">
        <w:rPr>
          <w:lang w:val="fr-FR"/>
        </w:rPr>
        <w:t xml:space="preserve"> Cf. </w:t>
      </w:r>
      <w:r w:rsidRPr="00780769">
        <w:rPr>
          <w:rFonts w:ascii="SimonciniGaramond" w:hAnsi="SimonciniGaramond" w:cs="SimonciniGaramond"/>
          <w:sz w:val="18"/>
          <w:szCs w:val="18"/>
          <w:lang w:val="fr-FR"/>
        </w:rPr>
        <w:t>A.M. B</w:t>
      </w:r>
      <w:r w:rsidRPr="00780769">
        <w:rPr>
          <w:rFonts w:ascii="SimonciniGaramond" w:hAnsi="SimonciniGaramond" w:cs="SimonciniGaramond"/>
          <w:sz w:val="13"/>
          <w:szCs w:val="13"/>
          <w:lang w:val="fr-FR"/>
        </w:rPr>
        <w:t>ESNARD</w:t>
      </w:r>
      <w:r w:rsidRPr="00780769">
        <w:rPr>
          <w:rFonts w:ascii="SimonciniGaramond" w:hAnsi="SimonciniGaramond" w:cs="SimonciniGaramond"/>
          <w:sz w:val="18"/>
          <w:szCs w:val="18"/>
          <w:lang w:val="fr-FR"/>
        </w:rPr>
        <w:t xml:space="preserve">, </w:t>
      </w:r>
      <w:r w:rsidRPr="00780769">
        <w:rPr>
          <w:rFonts w:ascii="SimonciniGaramond-Italic" w:hAnsi="SimonciniGaramond-Italic" w:cs="SimonciniGaramond-Italic"/>
          <w:i/>
          <w:iCs/>
          <w:sz w:val="18"/>
          <w:szCs w:val="18"/>
          <w:lang w:val="fr-FR"/>
        </w:rPr>
        <w:t>Le mystère</w:t>
      </w:r>
      <w:r w:rsidR="006F74C6" w:rsidRPr="00780769">
        <w:rPr>
          <w:rFonts w:ascii="SimonciniGaramond-Italic" w:hAnsi="SimonciniGaramond-Italic" w:cs="SimonciniGaramond-Italic"/>
          <w:i/>
          <w:iCs/>
          <w:sz w:val="18"/>
          <w:szCs w:val="18"/>
          <w:lang w:val="fr-FR"/>
        </w:rPr>
        <w:t xml:space="preserve">… </w:t>
      </w:r>
      <w:r w:rsidR="006F74C6" w:rsidRPr="00780769">
        <w:rPr>
          <w:rFonts w:ascii="SimonciniGaramond-Italic" w:hAnsi="SimonciniGaramond-Italic" w:cs="SimonciniGaramond-Italic"/>
          <w:iCs/>
          <w:sz w:val="18"/>
          <w:szCs w:val="18"/>
          <w:lang w:val="fr-FR"/>
        </w:rPr>
        <w:t>cit.</w:t>
      </w:r>
      <w:r w:rsidRPr="00780769">
        <w:rPr>
          <w:rFonts w:ascii="SimonciniGaramond" w:hAnsi="SimonciniGaramond" w:cs="SimonciniGaramond"/>
          <w:sz w:val="18"/>
          <w:szCs w:val="18"/>
          <w:lang w:val="fr-FR"/>
        </w:rPr>
        <w:t xml:space="preserve">, 82. </w:t>
      </w:r>
    </w:p>
  </w:footnote>
  <w:footnote w:id="3">
    <w:p w:rsidR="006F74C6" w:rsidRPr="00780769" w:rsidRDefault="006F74C6">
      <w:pPr>
        <w:pStyle w:val="Testonotaapidipagina"/>
        <w:rPr>
          <w:lang w:val="fr-FR"/>
        </w:rPr>
      </w:pPr>
      <w:r>
        <w:rPr>
          <w:rStyle w:val="Rimandonotaapidipagina"/>
        </w:rPr>
        <w:footnoteRef/>
      </w:r>
      <w:r w:rsidRPr="00780769">
        <w:rPr>
          <w:lang w:val="fr-FR"/>
        </w:rPr>
        <w:t xml:space="preserve"> </w:t>
      </w:r>
      <w:r w:rsidR="004525F8" w:rsidRPr="00780769">
        <w:rPr>
          <w:lang w:val="fr-FR"/>
        </w:rPr>
        <w:t>Cf.</w:t>
      </w:r>
      <w:r w:rsidR="00927C07" w:rsidRPr="00780769">
        <w:rPr>
          <w:lang w:val="fr-FR"/>
        </w:rPr>
        <w:t xml:space="preserve"> H. </w:t>
      </w:r>
      <w:r w:rsidR="00927C07" w:rsidRPr="00780769">
        <w:rPr>
          <w:smallCaps/>
          <w:lang w:val="fr-FR"/>
        </w:rPr>
        <w:t>Schlier</w:t>
      </w:r>
      <w:r w:rsidR="00927C07" w:rsidRPr="00780769">
        <w:rPr>
          <w:lang w:val="fr-FR"/>
        </w:rPr>
        <w:t xml:space="preserve">, </w:t>
      </w:r>
      <w:r w:rsidR="00927C07" w:rsidRPr="00780769">
        <w:rPr>
          <w:rFonts w:cstheme="minorHAnsi"/>
          <w:i/>
          <w:lang w:val="fr-FR"/>
        </w:rPr>
        <w:t>Ü</w:t>
      </w:r>
      <w:r w:rsidR="00927C07" w:rsidRPr="00780769">
        <w:rPr>
          <w:i/>
          <w:lang w:val="fr-FR"/>
        </w:rPr>
        <w:t>ber die Auferstehung Jesu Christi</w:t>
      </w:r>
      <w:r w:rsidR="004525F8" w:rsidRPr="00780769">
        <w:rPr>
          <w:lang w:val="fr-FR"/>
        </w:rPr>
        <w:t>, Einsiedeln 1968, 36.</w:t>
      </w:r>
    </w:p>
  </w:footnote>
  <w:footnote w:id="4">
    <w:p w:rsidR="004525F8" w:rsidRDefault="004525F8">
      <w:pPr>
        <w:pStyle w:val="Testonotaapidipagina"/>
      </w:pPr>
      <w:r>
        <w:rPr>
          <w:rStyle w:val="Rimandonotaapidipagina"/>
        </w:rPr>
        <w:footnoteRef/>
      </w:r>
      <w:r>
        <w:t xml:space="preserve"> </w:t>
      </w:r>
      <w:proofErr w:type="spellStart"/>
      <w:r>
        <w:t>Cf</w:t>
      </w:r>
      <w:proofErr w:type="spellEnd"/>
      <w:r>
        <w:t xml:space="preserve">. </w:t>
      </w:r>
      <w:r w:rsidRPr="004525F8">
        <w:rPr>
          <w:smallCaps/>
        </w:rPr>
        <w:t>Ambrogio di Milano</w:t>
      </w:r>
      <w:r>
        <w:t xml:space="preserve">, </w:t>
      </w:r>
      <w:r w:rsidRPr="004525F8">
        <w:rPr>
          <w:i/>
        </w:rPr>
        <w:t>Sui Misteri</w:t>
      </w:r>
      <w:r>
        <w:t xml:space="preserve">, 8 e 19; </w:t>
      </w:r>
      <w:r w:rsidRPr="004525F8">
        <w:rPr>
          <w:i/>
        </w:rPr>
        <w:t>Commento sul Salmo</w:t>
      </w:r>
      <w:r>
        <w:t xml:space="preserve"> 43, 89. </w:t>
      </w:r>
      <w:proofErr w:type="spellStart"/>
      <w:r>
        <w:t>Cf</w:t>
      </w:r>
      <w:proofErr w:type="spellEnd"/>
      <w:r>
        <w:t xml:space="preserve">. anche </w:t>
      </w:r>
      <w:r w:rsidRPr="004525F8">
        <w:rPr>
          <w:smallCaps/>
        </w:rPr>
        <w:t>Agostino di Ippona</w:t>
      </w:r>
      <w:r>
        <w:t xml:space="preserve">, </w:t>
      </w:r>
      <w:r w:rsidRPr="004525F8">
        <w:rPr>
          <w:i/>
        </w:rPr>
        <w:t>Lettera</w:t>
      </w:r>
      <w:r>
        <w:t xml:space="preserve"> 147 (</w:t>
      </w:r>
      <w:r w:rsidRPr="004525F8">
        <w:rPr>
          <w:i/>
        </w:rPr>
        <w:t>Sulla visione di Dio</w:t>
      </w:r>
      <w:r>
        <w:t>).</w:t>
      </w:r>
    </w:p>
  </w:footnote>
  <w:footnote w:id="5">
    <w:p w:rsidR="007667D1" w:rsidRDefault="007667D1">
      <w:pPr>
        <w:pStyle w:val="Testonotaapidipagina"/>
      </w:pPr>
      <w:r>
        <w:rPr>
          <w:rStyle w:val="Rimandonotaapidipagina"/>
        </w:rPr>
        <w:footnoteRef/>
      </w:r>
      <w:r>
        <w:t xml:space="preserve"> </w:t>
      </w:r>
      <w:proofErr w:type="spellStart"/>
      <w:r>
        <w:t>Cf</w:t>
      </w:r>
      <w:proofErr w:type="spellEnd"/>
      <w:r>
        <w:t xml:space="preserve">. l’esaustiva  trattazione in </w:t>
      </w:r>
      <w:r w:rsidRPr="007667D1">
        <w:rPr>
          <w:smallCaps/>
        </w:rPr>
        <w:t>H. Kessler</w:t>
      </w:r>
      <w:r>
        <w:t xml:space="preserve">, </w:t>
      </w:r>
      <w:proofErr w:type="spellStart"/>
      <w:r w:rsidRPr="007667D1">
        <w:rPr>
          <w:i/>
        </w:rPr>
        <w:t>Sucht</w:t>
      </w:r>
      <w:proofErr w:type="spellEnd"/>
      <w:r w:rsidRPr="007667D1">
        <w:rPr>
          <w:i/>
        </w:rPr>
        <w:t xml:space="preserve"> den </w:t>
      </w:r>
      <w:proofErr w:type="spellStart"/>
      <w:r w:rsidRPr="007667D1">
        <w:rPr>
          <w:i/>
        </w:rPr>
        <w:t>Lebenden</w:t>
      </w:r>
      <w:proofErr w:type="spellEnd"/>
      <w:r w:rsidRPr="007667D1">
        <w:rPr>
          <w:i/>
        </w:rPr>
        <w:t xml:space="preserve"> </w:t>
      </w:r>
      <w:proofErr w:type="spellStart"/>
      <w:r w:rsidRPr="007667D1">
        <w:rPr>
          <w:i/>
        </w:rPr>
        <w:t>nicht</w:t>
      </w:r>
      <w:proofErr w:type="spellEnd"/>
      <w:r w:rsidRPr="007667D1">
        <w:rPr>
          <w:i/>
        </w:rPr>
        <w:t xml:space="preserve"> bei den </w:t>
      </w:r>
      <w:proofErr w:type="spellStart"/>
      <w:r w:rsidRPr="007667D1">
        <w:rPr>
          <w:i/>
        </w:rPr>
        <w:t>Toten</w:t>
      </w:r>
      <w:proofErr w:type="spellEnd"/>
      <w:r w:rsidRPr="007667D1">
        <w:rPr>
          <w:i/>
        </w:rPr>
        <w:t xml:space="preserve">. </w:t>
      </w:r>
      <w:proofErr w:type="spellStart"/>
      <w:r w:rsidRPr="007667D1">
        <w:rPr>
          <w:i/>
        </w:rPr>
        <w:t>Die</w:t>
      </w:r>
      <w:proofErr w:type="spellEnd"/>
      <w:r w:rsidRPr="007667D1">
        <w:rPr>
          <w:i/>
        </w:rPr>
        <w:t xml:space="preserve"> </w:t>
      </w:r>
      <w:proofErr w:type="spellStart"/>
      <w:r w:rsidRPr="007667D1">
        <w:rPr>
          <w:i/>
        </w:rPr>
        <w:t>Auferstehung</w:t>
      </w:r>
      <w:proofErr w:type="spellEnd"/>
      <w:r w:rsidRPr="007667D1">
        <w:rPr>
          <w:i/>
        </w:rPr>
        <w:t xml:space="preserve"> </w:t>
      </w:r>
      <w:proofErr w:type="spellStart"/>
      <w:r w:rsidRPr="007667D1">
        <w:rPr>
          <w:i/>
        </w:rPr>
        <w:t>Jesu</w:t>
      </w:r>
      <w:proofErr w:type="spellEnd"/>
      <w:r w:rsidRPr="007667D1">
        <w:rPr>
          <w:i/>
        </w:rPr>
        <w:t xml:space="preserve"> </w:t>
      </w:r>
      <w:proofErr w:type="spellStart"/>
      <w:r w:rsidRPr="007667D1">
        <w:rPr>
          <w:i/>
        </w:rPr>
        <w:t>Christi</w:t>
      </w:r>
      <w:proofErr w:type="spellEnd"/>
      <w:r w:rsidRPr="007667D1">
        <w:rPr>
          <w:i/>
        </w:rPr>
        <w:t xml:space="preserve"> in </w:t>
      </w:r>
      <w:proofErr w:type="spellStart"/>
      <w:r w:rsidRPr="007667D1">
        <w:rPr>
          <w:i/>
        </w:rPr>
        <w:t>biblischer</w:t>
      </w:r>
      <w:proofErr w:type="spellEnd"/>
      <w:r w:rsidRPr="007667D1">
        <w:rPr>
          <w:i/>
        </w:rPr>
        <w:t xml:space="preserve">, </w:t>
      </w:r>
      <w:proofErr w:type="spellStart"/>
      <w:r w:rsidRPr="007667D1">
        <w:rPr>
          <w:i/>
        </w:rPr>
        <w:t>fundamentaltheologischer</w:t>
      </w:r>
      <w:proofErr w:type="spellEnd"/>
      <w:r w:rsidRPr="007667D1">
        <w:rPr>
          <w:i/>
        </w:rPr>
        <w:t xml:space="preserve"> und </w:t>
      </w:r>
      <w:proofErr w:type="spellStart"/>
      <w:r w:rsidRPr="007667D1">
        <w:rPr>
          <w:i/>
        </w:rPr>
        <w:t>systematischer</w:t>
      </w:r>
      <w:proofErr w:type="spellEnd"/>
      <w:r w:rsidRPr="007667D1">
        <w:rPr>
          <w:i/>
        </w:rPr>
        <w:t xml:space="preserve"> </w:t>
      </w:r>
      <w:proofErr w:type="spellStart"/>
      <w:r w:rsidRPr="007667D1">
        <w:rPr>
          <w:i/>
        </w:rPr>
        <w:t>Sicht</w:t>
      </w:r>
      <w:proofErr w:type="spellEnd"/>
      <w:r>
        <w:t>, W</w:t>
      </w:r>
      <w:r>
        <w:rPr>
          <w:rFonts w:cstheme="minorHAnsi"/>
        </w:rPr>
        <w:t>ü</w:t>
      </w:r>
      <w:r>
        <w:t xml:space="preserve">rzburg 1995, 216ss. </w:t>
      </w:r>
    </w:p>
  </w:footnote>
  <w:footnote w:id="6">
    <w:p w:rsidR="007667D1" w:rsidRDefault="007667D1">
      <w:pPr>
        <w:pStyle w:val="Testonotaapidipagina"/>
      </w:pPr>
      <w:r>
        <w:rPr>
          <w:rStyle w:val="Rimandonotaapidipagina"/>
        </w:rPr>
        <w:footnoteRef/>
      </w:r>
      <w:r>
        <w:t xml:space="preserve"> </w:t>
      </w:r>
      <w:proofErr w:type="spellStart"/>
      <w:r>
        <w:t>Cf</w:t>
      </w:r>
      <w:proofErr w:type="spellEnd"/>
      <w:r>
        <w:t xml:space="preserve">. l’espressione “oculata </w:t>
      </w:r>
      <w:proofErr w:type="spellStart"/>
      <w:r>
        <w:t>fides</w:t>
      </w:r>
      <w:proofErr w:type="spellEnd"/>
      <w:r>
        <w:t xml:space="preserve">” in </w:t>
      </w:r>
      <w:r w:rsidRPr="007667D1">
        <w:rPr>
          <w:smallCaps/>
        </w:rPr>
        <w:t>Tommaso d’Aquino</w:t>
      </w:r>
      <w:r>
        <w:t xml:space="preserve">, </w:t>
      </w:r>
      <w:r w:rsidRPr="007667D1">
        <w:rPr>
          <w:i/>
        </w:rPr>
        <w:t xml:space="preserve">Summa </w:t>
      </w:r>
      <w:proofErr w:type="spellStart"/>
      <w:r w:rsidRPr="007667D1">
        <w:rPr>
          <w:i/>
        </w:rPr>
        <w:t>Theologiae</w:t>
      </w:r>
      <w:proofErr w:type="spellEnd"/>
      <w:r>
        <w:t xml:space="preserve"> III, q55,a2,ad </w:t>
      </w:r>
      <w:proofErr w:type="spellStart"/>
      <w:r>
        <w:t>primum</w:t>
      </w:r>
      <w:proofErr w:type="spellEnd"/>
      <w:r>
        <w:t>.</w:t>
      </w:r>
    </w:p>
  </w:footnote>
  <w:footnote w:id="7">
    <w:p w:rsidR="007667D1" w:rsidRPr="007667D1" w:rsidRDefault="007667D1">
      <w:pPr>
        <w:pStyle w:val="Testonotaapidipagina"/>
      </w:pPr>
      <w:r>
        <w:rPr>
          <w:rStyle w:val="Rimandonotaapidipagina"/>
        </w:rPr>
        <w:footnoteRef/>
      </w:r>
      <w:r>
        <w:t xml:space="preserve"> Come genialmente sottolinea H. </w:t>
      </w:r>
      <w:proofErr w:type="spellStart"/>
      <w:r w:rsidRPr="00927C07">
        <w:rPr>
          <w:smallCaps/>
        </w:rPr>
        <w:t>Schlier</w:t>
      </w:r>
      <w:proofErr w:type="spellEnd"/>
      <w:r>
        <w:t xml:space="preserve">, </w:t>
      </w:r>
      <w:proofErr w:type="spellStart"/>
      <w:r w:rsidRPr="00927C07">
        <w:rPr>
          <w:rFonts w:cstheme="minorHAnsi"/>
          <w:i/>
        </w:rPr>
        <w:t>Ü</w:t>
      </w:r>
      <w:r w:rsidRPr="00927C07">
        <w:rPr>
          <w:i/>
        </w:rPr>
        <w:t>ber</w:t>
      </w:r>
      <w:proofErr w:type="spellEnd"/>
      <w:r w:rsidRPr="00927C07">
        <w:rPr>
          <w:i/>
        </w:rPr>
        <w:t xml:space="preserve"> </w:t>
      </w:r>
      <w:proofErr w:type="spellStart"/>
      <w:r w:rsidRPr="00927C07">
        <w:rPr>
          <w:i/>
        </w:rPr>
        <w:t>die</w:t>
      </w:r>
      <w:proofErr w:type="spellEnd"/>
      <w:r w:rsidRPr="00927C07">
        <w:rPr>
          <w:i/>
        </w:rPr>
        <w:t xml:space="preserve"> </w:t>
      </w:r>
      <w:proofErr w:type="spellStart"/>
      <w:r w:rsidRPr="00927C07">
        <w:rPr>
          <w:i/>
        </w:rPr>
        <w:t>Auferstehung</w:t>
      </w:r>
      <w:r>
        <w:t>…</w:t>
      </w:r>
      <w:proofErr w:type="spellEnd"/>
      <w:r>
        <w:t xml:space="preserve"> cit., 45.</w:t>
      </w:r>
    </w:p>
  </w:footnote>
  <w:footnote w:id="8">
    <w:p w:rsidR="00C96416" w:rsidRDefault="00C96416">
      <w:pPr>
        <w:pStyle w:val="Testonotaapidipagina"/>
      </w:pPr>
      <w:r>
        <w:rPr>
          <w:rStyle w:val="Rimandonotaapidipagina"/>
        </w:rPr>
        <w:footnoteRef/>
      </w:r>
      <w:r w:rsidRPr="00780769">
        <w:rPr>
          <w:lang w:val="fr-FR"/>
        </w:rPr>
        <w:t xml:space="preserve"> Cf. P. </w:t>
      </w:r>
      <w:r w:rsidRPr="00780769">
        <w:rPr>
          <w:smallCaps/>
          <w:lang w:val="fr-FR"/>
        </w:rPr>
        <w:t>Hitz</w:t>
      </w:r>
      <w:r w:rsidRPr="00780769">
        <w:rPr>
          <w:lang w:val="fr-FR"/>
        </w:rPr>
        <w:t xml:space="preserve">, “Jésus ressuscité, l’humanité et l’Eglise”, in </w:t>
      </w:r>
      <w:r w:rsidRPr="00780769">
        <w:rPr>
          <w:i/>
          <w:lang w:val="fr-FR"/>
        </w:rPr>
        <w:t>Lumen Vitae</w:t>
      </w:r>
      <w:r w:rsidRPr="00780769">
        <w:rPr>
          <w:lang w:val="fr-FR"/>
        </w:rPr>
        <w:t xml:space="preserve"> 20(1965)409-</w:t>
      </w:r>
      <w:r w:rsidR="003854CF" w:rsidRPr="00780769">
        <w:rPr>
          <w:lang w:val="fr-FR"/>
        </w:rPr>
        <w:t xml:space="preserve">454 e A. </w:t>
      </w:r>
      <w:r w:rsidR="003854CF" w:rsidRPr="00780769">
        <w:rPr>
          <w:smallCaps/>
          <w:lang w:val="fr-FR"/>
        </w:rPr>
        <w:t>Lopez Amat</w:t>
      </w:r>
      <w:r w:rsidR="003854CF" w:rsidRPr="00780769">
        <w:rPr>
          <w:lang w:val="fr-FR"/>
        </w:rPr>
        <w:t xml:space="preserve">, </w:t>
      </w:r>
      <w:r w:rsidR="003854CF" w:rsidRPr="00780769">
        <w:rPr>
          <w:i/>
          <w:lang w:val="fr-FR"/>
        </w:rPr>
        <w:t xml:space="preserve">Cristo resucitado. </w:t>
      </w:r>
      <w:r w:rsidR="003854CF" w:rsidRPr="003854CF">
        <w:rPr>
          <w:i/>
        </w:rPr>
        <w:t xml:space="preserve">La </w:t>
      </w:r>
      <w:proofErr w:type="spellStart"/>
      <w:r w:rsidR="003854CF" w:rsidRPr="003854CF">
        <w:rPr>
          <w:i/>
        </w:rPr>
        <w:t>segunda</w:t>
      </w:r>
      <w:proofErr w:type="spellEnd"/>
      <w:r w:rsidR="003854CF" w:rsidRPr="003854CF">
        <w:rPr>
          <w:i/>
        </w:rPr>
        <w:t xml:space="preserve"> fase del </w:t>
      </w:r>
      <w:proofErr w:type="spellStart"/>
      <w:r w:rsidR="003854CF" w:rsidRPr="003854CF">
        <w:rPr>
          <w:i/>
        </w:rPr>
        <w:t>Misterio</w:t>
      </w:r>
      <w:proofErr w:type="spellEnd"/>
      <w:r w:rsidR="003854CF" w:rsidRPr="003854CF">
        <w:rPr>
          <w:i/>
        </w:rPr>
        <w:t xml:space="preserve"> di Cristo</w:t>
      </w:r>
      <w:r w:rsidR="003854CF">
        <w:t>, Valencia 1982, 119ss.</w:t>
      </w:r>
    </w:p>
  </w:footnote>
  <w:footnote w:id="9">
    <w:p w:rsidR="00C96416" w:rsidRPr="00780769" w:rsidRDefault="00C96416">
      <w:pPr>
        <w:pStyle w:val="Testonotaapidipagina"/>
        <w:rPr>
          <w:lang w:val="en-US"/>
        </w:rPr>
      </w:pPr>
      <w:r>
        <w:rPr>
          <w:rStyle w:val="Rimandonotaapidipagina"/>
        </w:rPr>
        <w:footnoteRef/>
      </w:r>
      <w:r>
        <w:t xml:space="preserve">  </w:t>
      </w:r>
      <w:proofErr w:type="spellStart"/>
      <w:r>
        <w:t>Cf</w:t>
      </w:r>
      <w:proofErr w:type="spellEnd"/>
      <w:r>
        <w:t xml:space="preserve">. H. </w:t>
      </w:r>
      <w:proofErr w:type="spellStart"/>
      <w:r w:rsidRPr="00927C07">
        <w:rPr>
          <w:smallCaps/>
        </w:rPr>
        <w:t>Schlier</w:t>
      </w:r>
      <w:proofErr w:type="spellEnd"/>
      <w:r>
        <w:t>, “</w:t>
      </w:r>
      <w:proofErr w:type="spellStart"/>
      <w:r>
        <w:t>Kerygma</w:t>
      </w:r>
      <w:proofErr w:type="spellEnd"/>
      <w:r>
        <w:t xml:space="preserve"> und </w:t>
      </w:r>
      <w:proofErr w:type="spellStart"/>
      <w:r>
        <w:t>Sophia</w:t>
      </w:r>
      <w:proofErr w:type="spellEnd"/>
      <w:r>
        <w:t xml:space="preserve">. </w:t>
      </w:r>
      <w:r w:rsidRPr="00780769">
        <w:rPr>
          <w:lang w:val="en-US"/>
        </w:rPr>
        <w:t>Zur neutestamentlichen Grundlegung des Dogmas”, EvTh 10(1950)481-507.</w:t>
      </w:r>
    </w:p>
  </w:footnote>
  <w:footnote w:id="10">
    <w:p w:rsidR="003854CF" w:rsidRDefault="003854CF">
      <w:pPr>
        <w:pStyle w:val="Testonotaapidipagina"/>
      </w:pPr>
      <w:r>
        <w:rPr>
          <w:rStyle w:val="Rimandonotaapidipagina"/>
        </w:rPr>
        <w:footnoteRef/>
      </w:r>
      <w:r>
        <w:t xml:space="preserve"> Esempio emblematico rimane il lavoro di R. </w:t>
      </w:r>
      <w:proofErr w:type="spellStart"/>
      <w:r w:rsidRPr="003854CF">
        <w:rPr>
          <w:smallCaps/>
        </w:rPr>
        <w:t>Bultmann</w:t>
      </w:r>
      <w:proofErr w:type="spellEnd"/>
      <w:r>
        <w:t xml:space="preserve">, </w:t>
      </w:r>
      <w:proofErr w:type="spellStart"/>
      <w:r w:rsidRPr="003854CF">
        <w:rPr>
          <w:i/>
        </w:rPr>
        <w:t>Das</w:t>
      </w:r>
      <w:proofErr w:type="spellEnd"/>
      <w:r w:rsidRPr="003854CF">
        <w:rPr>
          <w:i/>
        </w:rPr>
        <w:t xml:space="preserve"> </w:t>
      </w:r>
      <w:proofErr w:type="spellStart"/>
      <w:r w:rsidRPr="003854CF">
        <w:rPr>
          <w:i/>
        </w:rPr>
        <w:t>Evangelium</w:t>
      </w:r>
      <w:proofErr w:type="spellEnd"/>
      <w:r w:rsidRPr="003854CF">
        <w:rPr>
          <w:i/>
        </w:rPr>
        <w:t xml:space="preserve"> </w:t>
      </w:r>
      <w:proofErr w:type="spellStart"/>
      <w:r w:rsidRPr="003854CF">
        <w:rPr>
          <w:i/>
        </w:rPr>
        <w:t>des</w:t>
      </w:r>
      <w:proofErr w:type="spellEnd"/>
      <w:r w:rsidRPr="003854CF">
        <w:rPr>
          <w:i/>
        </w:rPr>
        <w:t xml:space="preserve"> Johannes</w:t>
      </w:r>
      <w:r>
        <w:t>, G</w:t>
      </w:r>
      <w:r>
        <w:rPr>
          <w:rFonts w:cstheme="minorHAnsi"/>
        </w:rPr>
        <w:t>ö</w:t>
      </w:r>
      <w:r>
        <w:t>ttingen 1941.</w:t>
      </w:r>
    </w:p>
  </w:footnote>
  <w:footnote w:id="11">
    <w:p w:rsidR="00763454" w:rsidRPr="00780769" w:rsidRDefault="00763454">
      <w:pPr>
        <w:pStyle w:val="Testonotaapidipagina"/>
        <w:rPr>
          <w:lang w:val="en-US"/>
        </w:rPr>
      </w:pPr>
      <w:r>
        <w:rPr>
          <w:rStyle w:val="Rimandonotaapidipagina"/>
        </w:rPr>
        <w:footnoteRef/>
      </w:r>
      <w:r w:rsidRPr="00780769">
        <w:rPr>
          <w:lang w:val="en-US"/>
        </w:rPr>
        <w:t xml:space="preserve"> Discussione aggiornata in </w:t>
      </w:r>
      <w:r w:rsidRPr="00780769">
        <w:rPr>
          <w:smallCaps/>
          <w:lang w:val="en-US"/>
        </w:rPr>
        <w:t>J. P. Hernandez</w:t>
      </w:r>
      <w:r w:rsidRPr="00780769">
        <w:rPr>
          <w:lang w:val="en-US"/>
        </w:rPr>
        <w:t xml:space="preserve">, </w:t>
      </w:r>
      <w:r w:rsidRPr="00780769">
        <w:rPr>
          <w:i/>
          <w:lang w:val="en-US"/>
        </w:rPr>
        <w:t>Der Herr ist wahrhaft auferstanden</w:t>
      </w:r>
      <w:r w:rsidRPr="00780769">
        <w:rPr>
          <w:lang w:val="en-US"/>
        </w:rPr>
        <w:t>, Fankfurt am Main 2013, 317-346.</w:t>
      </w:r>
    </w:p>
  </w:footnote>
  <w:footnote w:id="12">
    <w:p w:rsidR="003854CF" w:rsidRPr="00780769" w:rsidRDefault="003854CF">
      <w:pPr>
        <w:pStyle w:val="Testonotaapidipagina"/>
        <w:rPr>
          <w:lang w:val="fr-FR"/>
        </w:rPr>
      </w:pPr>
      <w:r>
        <w:rPr>
          <w:rStyle w:val="Rimandonotaapidipagina"/>
        </w:rPr>
        <w:footnoteRef/>
      </w:r>
      <w:r w:rsidRPr="00780769">
        <w:rPr>
          <w:lang w:val="fr-FR"/>
        </w:rPr>
        <w:t xml:space="preserve"> Cf.</w:t>
      </w:r>
      <w:r w:rsidR="00763454" w:rsidRPr="00780769">
        <w:rPr>
          <w:lang w:val="fr-FR"/>
        </w:rPr>
        <w:t xml:space="preserve"> O. </w:t>
      </w:r>
      <w:r w:rsidR="00763454" w:rsidRPr="00780769">
        <w:rPr>
          <w:smallCaps/>
          <w:lang w:val="fr-FR"/>
        </w:rPr>
        <w:t>Cullmann</w:t>
      </w:r>
      <w:r w:rsidR="00763454" w:rsidRPr="00780769">
        <w:rPr>
          <w:lang w:val="fr-FR"/>
        </w:rPr>
        <w:t xml:space="preserve">, </w:t>
      </w:r>
      <w:r w:rsidR="00763454" w:rsidRPr="00780769">
        <w:rPr>
          <w:i/>
          <w:lang w:val="fr-FR"/>
        </w:rPr>
        <w:t>La tradition. Problème exégétique, historique et théologique</w:t>
      </w:r>
      <w:r w:rsidR="00763454" w:rsidRPr="00780769">
        <w:rPr>
          <w:lang w:val="fr-FR"/>
        </w:rPr>
        <w:t>, Paris 1953, 15ss.</w:t>
      </w:r>
    </w:p>
  </w:footnote>
  <w:footnote w:id="13">
    <w:p w:rsidR="00763454" w:rsidRPr="00763454" w:rsidRDefault="00763454" w:rsidP="005519C5">
      <w:pPr>
        <w:pStyle w:val="Testonotaapidipagina"/>
        <w:contextualSpacing/>
      </w:pPr>
      <w:r>
        <w:rPr>
          <w:rStyle w:val="Rimandonotaapidipagina"/>
        </w:rPr>
        <w:footnoteRef/>
      </w:r>
      <w:r>
        <w:t xml:space="preserve">  </w:t>
      </w:r>
      <w:proofErr w:type="spellStart"/>
      <w:r>
        <w:t>Cf</w:t>
      </w:r>
      <w:proofErr w:type="spellEnd"/>
      <w:r>
        <w:t xml:space="preserve">. </w:t>
      </w:r>
      <w:r w:rsidRPr="003854CF">
        <w:rPr>
          <w:smallCaps/>
        </w:rPr>
        <w:t xml:space="preserve">J. P. </w:t>
      </w:r>
      <w:proofErr w:type="spellStart"/>
      <w:r w:rsidRPr="003854CF">
        <w:rPr>
          <w:smallCaps/>
        </w:rPr>
        <w:t>Hernandez</w:t>
      </w:r>
      <w:proofErr w:type="spellEnd"/>
      <w:r>
        <w:t xml:space="preserve">, </w:t>
      </w:r>
      <w:proofErr w:type="spellStart"/>
      <w:r w:rsidRPr="003854CF">
        <w:rPr>
          <w:i/>
        </w:rPr>
        <w:t>Der</w:t>
      </w:r>
      <w:proofErr w:type="spellEnd"/>
      <w:r w:rsidRPr="003854CF">
        <w:rPr>
          <w:i/>
        </w:rPr>
        <w:t xml:space="preserve"> </w:t>
      </w:r>
      <w:proofErr w:type="spellStart"/>
      <w:r w:rsidRPr="003854CF">
        <w:rPr>
          <w:i/>
        </w:rPr>
        <w:t>Herr</w:t>
      </w:r>
      <w:r>
        <w:t>…</w:t>
      </w:r>
      <w:proofErr w:type="spellEnd"/>
      <w:r>
        <w:t xml:space="preserve"> cit., 347ss.</w:t>
      </w:r>
    </w:p>
  </w:footnote>
  <w:footnote w:id="14">
    <w:p w:rsidR="00763454" w:rsidRPr="005519C5" w:rsidRDefault="00763454" w:rsidP="005519C5">
      <w:pPr>
        <w:pStyle w:val="Titolo1"/>
        <w:spacing w:before="0" w:beforeAutospacing="0" w:after="0" w:afterAutospacing="0"/>
        <w:contextualSpacing/>
        <w:rPr>
          <w:rFonts w:asciiTheme="minorHAnsi" w:hAnsiTheme="minorHAnsi" w:cstheme="minorHAnsi"/>
          <w:b w:val="0"/>
          <w:sz w:val="20"/>
        </w:rPr>
      </w:pPr>
      <w:r w:rsidRPr="005519C5">
        <w:rPr>
          <w:rStyle w:val="Rimandonotaapidipagina"/>
          <w:rFonts w:asciiTheme="minorHAnsi" w:hAnsiTheme="minorHAnsi" w:cstheme="minorHAnsi"/>
          <w:b w:val="0"/>
          <w:sz w:val="20"/>
        </w:rPr>
        <w:footnoteRef/>
      </w:r>
      <w:r w:rsidRPr="005519C5">
        <w:rPr>
          <w:rFonts w:asciiTheme="minorHAnsi" w:hAnsiTheme="minorHAnsi" w:cstheme="minorHAnsi"/>
          <w:b w:val="0"/>
          <w:sz w:val="20"/>
        </w:rPr>
        <w:t xml:space="preserve">  </w:t>
      </w:r>
      <w:proofErr w:type="spellStart"/>
      <w:r w:rsidRPr="005519C5">
        <w:rPr>
          <w:rFonts w:asciiTheme="minorHAnsi" w:hAnsiTheme="minorHAnsi" w:cstheme="minorHAnsi"/>
          <w:b w:val="0"/>
          <w:sz w:val="20"/>
        </w:rPr>
        <w:t>Cf</w:t>
      </w:r>
      <w:proofErr w:type="spellEnd"/>
      <w:r w:rsidRPr="005519C5">
        <w:rPr>
          <w:rFonts w:asciiTheme="minorHAnsi" w:hAnsiTheme="minorHAnsi" w:cstheme="minorHAnsi"/>
          <w:b w:val="0"/>
          <w:sz w:val="20"/>
        </w:rPr>
        <w:t xml:space="preserve">. </w:t>
      </w:r>
      <w:r w:rsidR="005519C5">
        <w:rPr>
          <w:rFonts w:asciiTheme="minorHAnsi" w:hAnsiTheme="minorHAnsi" w:cstheme="minorHAnsi"/>
          <w:b w:val="0"/>
          <w:sz w:val="20"/>
        </w:rPr>
        <w:t xml:space="preserve">C. </w:t>
      </w:r>
      <w:proofErr w:type="spellStart"/>
      <w:r w:rsidR="005519C5" w:rsidRPr="005519C5">
        <w:rPr>
          <w:rFonts w:asciiTheme="minorHAnsi" w:hAnsiTheme="minorHAnsi" w:cstheme="minorHAnsi"/>
          <w:b w:val="0"/>
          <w:smallCaps/>
          <w:sz w:val="20"/>
        </w:rPr>
        <w:t>Manunza</w:t>
      </w:r>
      <w:proofErr w:type="spellEnd"/>
      <w:r w:rsidR="005519C5">
        <w:rPr>
          <w:rFonts w:asciiTheme="minorHAnsi" w:hAnsiTheme="minorHAnsi" w:cstheme="minorHAnsi"/>
          <w:b w:val="0"/>
          <w:sz w:val="20"/>
        </w:rPr>
        <w:t xml:space="preserve">, </w:t>
      </w:r>
      <w:r w:rsidRPr="005519C5">
        <w:rPr>
          <w:rFonts w:asciiTheme="minorHAnsi" w:hAnsiTheme="minorHAnsi" w:cstheme="minorHAnsi"/>
          <w:b w:val="0"/>
          <w:i/>
          <w:sz w:val="20"/>
        </w:rPr>
        <w:t>L'Apocalisse come "</w:t>
      </w:r>
      <w:proofErr w:type="spellStart"/>
      <w:r w:rsidRPr="005519C5">
        <w:rPr>
          <w:rFonts w:asciiTheme="minorHAnsi" w:hAnsiTheme="minorHAnsi" w:cstheme="minorHAnsi"/>
          <w:b w:val="0"/>
          <w:i/>
          <w:sz w:val="20"/>
        </w:rPr>
        <w:t>actio</w:t>
      </w:r>
      <w:proofErr w:type="spellEnd"/>
      <w:r w:rsidRPr="005519C5">
        <w:rPr>
          <w:rFonts w:asciiTheme="minorHAnsi" w:hAnsiTheme="minorHAnsi" w:cstheme="minorHAnsi"/>
          <w:b w:val="0"/>
          <w:i/>
          <w:sz w:val="20"/>
        </w:rPr>
        <w:t xml:space="preserve"> liturgica" cristiana: Studio esegetico-teologico</w:t>
      </w:r>
      <w:r w:rsidR="005519C5">
        <w:rPr>
          <w:rFonts w:asciiTheme="minorHAnsi" w:hAnsiTheme="minorHAnsi" w:cstheme="minorHAnsi"/>
          <w:b w:val="0"/>
          <w:sz w:val="20"/>
        </w:rPr>
        <w:t>, Roma 2012.</w:t>
      </w:r>
    </w:p>
  </w:footnote>
  <w:footnote w:id="15">
    <w:p w:rsidR="005519C5" w:rsidRPr="00780769" w:rsidRDefault="005519C5">
      <w:pPr>
        <w:pStyle w:val="Testonotaapidipagina"/>
        <w:contextualSpacing/>
        <w:rPr>
          <w:lang w:val="en-US"/>
        </w:rPr>
      </w:pPr>
      <w:r>
        <w:rPr>
          <w:rStyle w:val="Rimandonotaapidipagina"/>
        </w:rPr>
        <w:footnoteRef/>
      </w:r>
      <w:r w:rsidRPr="00780769">
        <w:rPr>
          <w:lang w:val="en-US"/>
        </w:rPr>
        <w:t xml:space="preserve"> Cf. B. </w:t>
      </w:r>
      <w:r w:rsidRPr="00780769">
        <w:rPr>
          <w:smallCaps/>
          <w:lang w:val="en-US"/>
        </w:rPr>
        <w:t>Gerhardsson</w:t>
      </w:r>
      <w:r w:rsidRPr="00780769">
        <w:rPr>
          <w:lang w:val="en-US"/>
        </w:rPr>
        <w:t xml:space="preserve">, </w:t>
      </w:r>
      <w:r w:rsidRPr="00780769">
        <w:rPr>
          <w:i/>
          <w:lang w:val="en-US"/>
        </w:rPr>
        <w:t>Memory and Manuscript. Oral Transmission in Rabbinic Judaism and Early Christianity</w:t>
      </w:r>
      <w:r w:rsidRPr="00780769">
        <w:rPr>
          <w:lang w:val="en-US"/>
        </w:rPr>
        <w:t>, Uppsala 1961, 94ss.</w:t>
      </w:r>
    </w:p>
  </w:footnote>
  <w:footnote w:id="16">
    <w:p w:rsidR="005519C5" w:rsidRDefault="005519C5">
      <w:pPr>
        <w:pStyle w:val="Testonotaapidipagina"/>
      </w:pPr>
      <w:r>
        <w:rPr>
          <w:rStyle w:val="Rimandonotaapidipagina"/>
        </w:rPr>
        <w:footnoteRef/>
      </w:r>
      <w:r>
        <w:t xml:space="preserve">  </w:t>
      </w:r>
      <w:r w:rsidRPr="005519C5">
        <w:rPr>
          <w:smallCaps/>
        </w:rPr>
        <w:t xml:space="preserve">Nicola </w:t>
      </w:r>
      <w:proofErr w:type="spellStart"/>
      <w:r w:rsidRPr="005519C5">
        <w:rPr>
          <w:smallCaps/>
        </w:rPr>
        <w:t>Cabasilas</w:t>
      </w:r>
      <w:proofErr w:type="spellEnd"/>
      <w:r>
        <w:t xml:space="preserve">, </w:t>
      </w:r>
      <w:r w:rsidRPr="005519C5">
        <w:rPr>
          <w:i/>
        </w:rPr>
        <w:t>La vita in Cristo</w:t>
      </w:r>
      <w:r>
        <w:t xml:space="preserve">, </w:t>
      </w:r>
      <w:r w:rsidR="00EB71B5">
        <w:t>1,21.</w:t>
      </w:r>
    </w:p>
  </w:footnote>
  <w:footnote w:id="17">
    <w:p w:rsidR="00EB71B5" w:rsidRDefault="00EB71B5">
      <w:pPr>
        <w:pStyle w:val="Testonotaapidipagina"/>
      </w:pPr>
      <w:r>
        <w:rPr>
          <w:rStyle w:val="Rimandonotaapidipagina"/>
        </w:rPr>
        <w:footnoteRef/>
      </w:r>
      <w:r>
        <w:t xml:space="preserve"> </w:t>
      </w:r>
      <w:proofErr w:type="spellStart"/>
      <w:r>
        <w:t>Cf</w:t>
      </w:r>
      <w:proofErr w:type="spellEnd"/>
      <w:r>
        <w:t xml:space="preserve">. l’impianto metodologico di J. </w:t>
      </w:r>
      <w:proofErr w:type="spellStart"/>
      <w:r w:rsidRPr="00EB71B5">
        <w:rPr>
          <w:smallCaps/>
        </w:rPr>
        <w:t>Engemann</w:t>
      </w:r>
      <w:proofErr w:type="spellEnd"/>
      <w:r>
        <w:t xml:space="preserve">, </w:t>
      </w:r>
      <w:proofErr w:type="spellStart"/>
      <w:r w:rsidRPr="00EB71B5">
        <w:rPr>
          <w:i/>
        </w:rPr>
        <w:t>Deutung</w:t>
      </w:r>
      <w:proofErr w:type="spellEnd"/>
      <w:r w:rsidRPr="00EB71B5">
        <w:rPr>
          <w:i/>
        </w:rPr>
        <w:t xml:space="preserve"> und </w:t>
      </w:r>
      <w:proofErr w:type="spellStart"/>
      <w:r w:rsidRPr="00EB71B5">
        <w:rPr>
          <w:i/>
        </w:rPr>
        <w:t>Bedeutung</w:t>
      </w:r>
      <w:proofErr w:type="spellEnd"/>
      <w:r w:rsidRPr="00EB71B5">
        <w:rPr>
          <w:i/>
        </w:rPr>
        <w:t xml:space="preserve"> </w:t>
      </w:r>
      <w:proofErr w:type="spellStart"/>
      <w:r w:rsidRPr="00EB71B5">
        <w:rPr>
          <w:i/>
        </w:rPr>
        <w:t>fr</w:t>
      </w:r>
      <w:r w:rsidRPr="00EB71B5">
        <w:rPr>
          <w:rFonts w:cstheme="minorHAnsi"/>
          <w:i/>
        </w:rPr>
        <w:t>ü</w:t>
      </w:r>
      <w:r w:rsidRPr="00EB71B5">
        <w:rPr>
          <w:i/>
        </w:rPr>
        <w:t>hchristlicher</w:t>
      </w:r>
      <w:proofErr w:type="spellEnd"/>
      <w:r w:rsidRPr="00EB71B5">
        <w:rPr>
          <w:i/>
        </w:rPr>
        <w:t xml:space="preserve"> </w:t>
      </w:r>
      <w:proofErr w:type="spellStart"/>
      <w:r w:rsidRPr="00EB71B5">
        <w:rPr>
          <w:i/>
        </w:rPr>
        <w:t>Bildwerke</w:t>
      </w:r>
      <w:proofErr w:type="spellEnd"/>
      <w:r>
        <w:t xml:space="preserve">, </w:t>
      </w:r>
      <w:proofErr w:type="spellStart"/>
      <w:r>
        <w:t>Darmstadt</w:t>
      </w:r>
      <w:proofErr w:type="spellEnd"/>
      <w:r>
        <w:t xml:space="preserve"> 1997.</w:t>
      </w:r>
    </w:p>
  </w:footnote>
  <w:footnote w:id="18">
    <w:p w:rsidR="00815161" w:rsidRPr="00780769" w:rsidRDefault="00815161" w:rsidP="00815161">
      <w:pPr>
        <w:autoSpaceDE w:val="0"/>
        <w:autoSpaceDN w:val="0"/>
        <w:adjustRightInd w:val="0"/>
        <w:spacing w:after="0" w:line="240" w:lineRule="auto"/>
        <w:rPr>
          <w:rFonts w:ascii="SimonciniGaramond-Italic" w:hAnsi="SimonciniGaramond-Italic" w:cs="SimonciniGaramond-Italic"/>
          <w:i/>
          <w:iCs/>
          <w:sz w:val="18"/>
          <w:szCs w:val="18"/>
          <w:lang w:val="en-US"/>
        </w:rPr>
      </w:pPr>
      <w:r>
        <w:rPr>
          <w:rStyle w:val="Rimandonotaapidipagina"/>
        </w:rPr>
        <w:footnoteRef/>
      </w:r>
      <w:r w:rsidRPr="00780769">
        <w:rPr>
          <w:lang w:val="en-US"/>
        </w:rPr>
        <w:t xml:space="preserve">  Cf. </w:t>
      </w:r>
      <w:r w:rsidRPr="00780769">
        <w:rPr>
          <w:rFonts w:ascii="SimonciniGaramond" w:hAnsi="SimonciniGaramond" w:cs="SimonciniGaramond"/>
          <w:sz w:val="18"/>
          <w:szCs w:val="18"/>
          <w:lang w:val="en-US"/>
        </w:rPr>
        <w:t>L.G. D</w:t>
      </w:r>
      <w:r w:rsidRPr="00780769">
        <w:rPr>
          <w:rFonts w:ascii="SimonciniGaramond" w:hAnsi="SimonciniGaramond" w:cs="SimonciniGaramond"/>
          <w:sz w:val="13"/>
          <w:szCs w:val="13"/>
          <w:lang w:val="en-US"/>
        </w:rPr>
        <w:t>UGGAN</w:t>
      </w:r>
      <w:r w:rsidRPr="00780769">
        <w:rPr>
          <w:rFonts w:ascii="SimonciniGaramond" w:hAnsi="SimonciniGaramond" w:cs="SimonciniGaramond"/>
          <w:sz w:val="18"/>
          <w:szCs w:val="18"/>
          <w:lang w:val="en-US"/>
        </w:rPr>
        <w:t xml:space="preserve">, «Was Art really the ‘Book of the Illiterate’?», in </w:t>
      </w:r>
      <w:r w:rsidRPr="00780769">
        <w:rPr>
          <w:rFonts w:ascii="SimonciniGaramond-Italic" w:hAnsi="SimonciniGaramond-Italic" w:cs="SimonciniGaramond-Italic"/>
          <w:i/>
          <w:iCs/>
          <w:sz w:val="18"/>
          <w:szCs w:val="18"/>
          <w:lang w:val="en-US"/>
        </w:rPr>
        <w:t xml:space="preserve">Word </w:t>
      </w:r>
      <w:bookmarkStart w:id="0" w:name="_GoBack"/>
      <w:bookmarkEnd w:id="0"/>
      <w:r w:rsidRPr="00780769">
        <w:rPr>
          <w:rFonts w:ascii="SimonciniGaramond-Italic" w:hAnsi="SimonciniGaramond-Italic" w:cs="SimonciniGaramond-Italic"/>
          <w:i/>
          <w:iCs/>
          <w:sz w:val="18"/>
          <w:szCs w:val="18"/>
          <w:lang w:val="en-US"/>
        </w:rPr>
        <w:t xml:space="preserve">and Image </w:t>
      </w:r>
      <w:r w:rsidRPr="00780769">
        <w:rPr>
          <w:rFonts w:ascii="SimonciniGaramond" w:hAnsi="SimonciniGaramond" w:cs="SimonciniGaramond"/>
          <w:sz w:val="18"/>
          <w:szCs w:val="18"/>
          <w:lang w:val="en-US"/>
        </w:rPr>
        <w:t>5 (1989) 227-251.</w:t>
      </w:r>
    </w:p>
  </w:footnote>
  <w:footnote w:id="19">
    <w:p w:rsidR="00815161" w:rsidRPr="00815161" w:rsidRDefault="00815161" w:rsidP="00815161">
      <w:pPr>
        <w:autoSpaceDE w:val="0"/>
        <w:autoSpaceDN w:val="0"/>
        <w:adjustRightInd w:val="0"/>
        <w:spacing w:after="0" w:line="240" w:lineRule="auto"/>
        <w:rPr>
          <w:rFonts w:ascii="SimonciniGaramond" w:hAnsi="SimonciniGaramond" w:cs="SimonciniGaramond"/>
          <w:sz w:val="18"/>
          <w:szCs w:val="18"/>
        </w:rPr>
      </w:pPr>
      <w:r>
        <w:rPr>
          <w:rStyle w:val="Rimandonotaapidipagina"/>
        </w:rPr>
        <w:footnoteRef/>
      </w:r>
      <w:r>
        <w:t xml:space="preserve"> </w:t>
      </w:r>
      <w:proofErr w:type="spellStart"/>
      <w:r>
        <w:t>Cf</w:t>
      </w:r>
      <w:proofErr w:type="spellEnd"/>
      <w:r>
        <w:t xml:space="preserve">. </w:t>
      </w:r>
      <w:r>
        <w:rPr>
          <w:rFonts w:ascii="SimonciniGaramond" w:hAnsi="SimonciniGaramond" w:cs="SimonciniGaramond"/>
          <w:sz w:val="18"/>
          <w:szCs w:val="18"/>
        </w:rPr>
        <w:t>P. P</w:t>
      </w:r>
      <w:r>
        <w:rPr>
          <w:rFonts w:ascii="SimonciniGaramond" w:hAnsi="SimonciniGaramond" w:cs="SimonciniGaramond"/>
          <w:sz w:val="13"/>
          <w:szCs w:val="13"/>
        </w:rPr>
        <w:t>RINGENT</w:t>
      </w:r>
      <w:r>
        <w:rPr>
          <w:rFonts w:ascii="SimonciniGaramond" w:hAnsi="SimonciniGaramond" w:cs="SimonciniGaramond"/>
          <w:sz w:val="18"/>
          <w:szCs w:val="18"/>
        </w:rPr>
        <w:t xml:space="preserve">, </w:t>
      </w:r>
      <w:r>
        <w:rPr>
          <w:rFonts w:ascii="SimonciniGaramond-Italic" w:hAnsi="SimonciniGaramond-Italic" w:cs="SimonciniGaramond-Italic"/>
          <w:i/>
          <w:iCs/>
          <w:sz w:val="18"/>
          <w:szCs w:val="18"/>
        </w:rPr>
        <w:t>L’arte dei primi cristiani</w:t>
      </w:r>
      <w:r>
        <w:rPr>
          <w:rFonts w:ascii="SimonciniGaramond" w:hAnsi="SimonciniGaramond" w:cs="SimonciniGaramond"/>
          <w:sz w:val="18"/>
          <w:szCs w:val="18"/>
        </w:rPr>
        <w:t>. L’eredità culturale e la nuova fede, Roma 1997, 242.</w:t>
      </w:r>
    </w:p>
  </w:footnote>
  <w:footnote w:id="20">
    <w:p w:rsidR="00815161" w:rsidRPr="00815161" w:rsidRDefault="00815161" w:rsidP="00815161">
      <w:pPr>
        <w:autoSpaceDE w:val="0"/>
        <w:autoSpaceDN w:val="0"/>
        <w:adjustRightInd w:val="0"/>
        <w:spacing w:after="0" w:line="240" w:lineRule="auto"/>
        <w:rPr>
          <w:rFonts w:ascii="SimonciniGaramond" w:hAnsi="SimonciniGaramond" w:cs="SimonciniGaramond"/>
          <w:sz w:val="18"/>
          <w:szCs w:val="18"/>
        </w:rPr>
      </w:pPr>
      <w:r>
        <w:rPr>
          <w:rStyle w:val="Rimandonotaapidipagina"/>
        </w:rPr>
        <w:footnoteRef/>
      </w:r>
      <w:r>
        <w:t xml:space="preserve">  </w:t>
      </w:r>
      <w:proofErr w:type="spellStart"/>
      <w:r>
        <w:t>Cf</w:t>
      </w:r>
      <w:proofErr w:type="spellEnd"/>
      <w:r>
        <w:t xml:space="preserve">. </w:t>
      </w:r>
      <w:r>
        <w:rPr>
          <w:rFonts w:ascii="SimonciniGaramond" w:hAnsi="SimonciniGaramond" w:cs="SimonciniGaramond"/>
          <w:sz w:val="18"/>
          <w:szCs w:val="18"/>
        </w:rPr>
        <w:t>A. Q</w:t>
      </w:r>
      <w:r>
        <w:rPr>
          <w:rFonts w:ascii="SimonciniGaramond" w:hAnsi="SimonciniGaramond" w:cs="SimonciniGaramond"/>
          <w:sz w:val="13"/>
          <w:szCs w:val="13"/>
        </w:rPr>
        <w:t>UACQUARELLI</w:t>
      </w:r>
      <w:r>
        <w:rPr>
          <w:rFonts w:ascii="SimonciniGaramond" w:hAnsi="SimonciniGaramond" w:cs="SimonciniGaramond"/>
          <w:sz w:val="18"/>
          <w:szCs w:val="18"/>
        </w:rPr>
        <w:t>, «Mezzi espressivi dei catecheti e la simbologia nel linguaggio delle arti figurative», in S. F</w:t>
      </w:r>
      <w:r>
        <w:rPr>
          <w:rFonts w:ascii="SimonciniGaramond" w:hAnsi="SimonciniGaramond" w:cs="SimonciniGaramond"/>
          <w:sz w:val="13"/>
          <w:szCs w:val="13"/>
        </w:rPr>
        <w:t xml:space="preserve">ELICI </w:t>
      </w:r>
      <w:r>
        <w:rPr>
          <w:rFonts w:ascii="SimonciniGaramond" w:hAnsi="SimonciniGaramond" w:cs="SimonciniGaramond"/>
          <w:sz w:val="18"/>
          <w:szCs w:val="18"/>
        </w:rPr>
        <w:t xml:space="preserve">(ed.), </w:t>
      </w:r>
      <w:proofErr w:type="spellStart"/>
      <w:r>
        <w:rPr>
          <w:rFonts w:ascii="SimonciniGaramond-Italic" w:hAnsi="SimonciniGaramond-Italic" w:cs="SimonciniGaramond-Italic"/>
          <w:i/>
          <w:iCs/>
          <w:sz w:val="18"/>
          <w:szCs w:val="18"/>
        </w:rPr>
        <w:t>Catecitesi</w:t>
      </w:r>
      <w:proofErr w:type="spellEnd"/>
      <w:r>
        <w:rPr>
          <w:rFonts w:ascii="SimonciniGaramond-Italic" w:hAnsi="SimonciniGaramond-Italic" w:cs="SimonciniGaramond-Italic"/>
          <w:i/>
          <w:iCs/>
          <w:sz w:val="18"/>
          <w:szCs w:val="18"/>
        </w:rPr>
        <w:t xml:space="preserve"> battesimale e riconciliazione nei Padri del IV secolo</w:t>
      </w:r>
      <w:r>
        <w:rPr>
          <w:rFonts w:ascii="SimonciniGaramond" w:hAnsi="SimonciniGaramond" w:cs="SimonciniGaramond"/>
          <w:sz w:val="18"/>
          <w:szCs w:val="18"/>
        </w:rPr>
        <w:t>, Roma 1984, 141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8044D"/>
    <w:multiLevelType w:val="hybridMultilevel"/>
    <w:tmpl w:val="925403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9723F7"/>
    <w:rsid w:val="0001645E"/>
    <w:rsid w:val="00084DF0"/>
    <w:rsid w:val="00136CEF"/>
    <w:rsid w:val="00164D17"/>
    <w:rsid w:val="001B63E3"/>
    <w:rsid w:val="00202BD5"/>
    <w:rsid w:val="0023424E"/>
    <w:rsid w:val="002B5878"/>
    <w:rsid w:val="00337B79"/>
    <w:rsid w:val="00366856"/>
    <w:rsid w:val="0037499B"/>
    <w:rsid w:val="003854CF"/>
    <w:rsid w:val="004525F8"/>
    <w:rsid w:val="00467ABC"/>
    <w:rsid w:val="00472BD7"/>
    <w:rsid w:val="005519C5"/>
    <w:rsid w:val="00555A90"/>
    <w:rsid w:val="005611C9"/>
    <w:rsid w:val="00567E8F"/>
    <w:rsid w:val="005968AC"/>
    <w:rsid w:val="005C2D10"/>
    <w:rsid w:val="00602D5D"/>
    <w:rsid w:val="00654039"/>
    <w:rsid w:val="006605A7"/>
    <w:rsid w:val="0068596F"/>
    <w:rsid w:val="006969FF"/>
    <w:rsid w:val="006F74C6"/>
    <w:rsid w:val="00763454"/>
    <w:rsid w:val="007667D1"/>
    <w:rsid w:val="00780769"/>
    <w:rsid w:val="007B41FD"/>
    <w:rsid w:val="007C69FF"/>
    <w:rsid w:val="00815161"/>
    <w:rsid w:val="008E7743"/>
    <w:rsid w:val="009246A0"/>
    <w:rsid w:val="00927C07"/>
    <w:rsid w:val="00950E0C"/>
    <w:rsid w:val="009723F7"/>
    <w:rsid w:val="009B3AE4"/>
    <w:rsid w:val="009B6DA9"/>
    <w:rsid w:val="009F0B31"/>
    <w:rsid w:val="00A4153D"/>
    <w:rsid w:val="00A940DE"/>
    <w:rsid w:val="00AC1985"/>
    <w:rsid w:val="00AD526C"/>
    <w:rsid w:val="00B07F52"/>
    <w:rsid w:val="00B24483"/>
    <w:rsid w:val="00B70B0F"/>
    <w:rsid w:val="00BA4EF9"/>
    <w:rsid w:val="00BD3C60"/>
    <w:rsid w:val="00BE3728"/>
    <w:rsid w:val="00C27AA6"/>
    <w:rsid w:val="00C375A3"/>
    <w:rsid w:val="00C96416"/>
    <w:rsid w:val="00D02961"/>
    <w:rsid w:val="00D2131C"/>
    <w:rsid w:val="00D30181"/>
    <w:rsid w:val="00D33CC6"/>
    <w:rsid w:val="00D4541D"/>
    <w:rsid w:val="00D90E99"/>
    <w:rsid w:val="00E45765"/>
    <w:rsid w:val="00E55781"/>
    <w:rsid w:val="00E564D7"/>
    <w:rsid w:val="00EB71B5"/>
    <w:rsid w:val="00F17291"/>
    <w:rsid w:val="00F41BC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23F7"/>
  </w:style>
  <w:style w:type="paragraph" w:styleId="Titolo1">
    <w:name w:val="heading 1"/>
    <w:basedOn w:val="Normale"/>
    <w:link w:val="Titolo1Carattere"/>
    <w:uiPriority w:val="9"/>
    <w:qFormat/>
    <w:rsid w:val="007634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2131C"/>
    <w:pPr>
      <w:ind w:left="720"/>
      <w:contextualSpacing/>
    </w:pPr>
  </w:style>
  <w:style w:type="paragraph" w:styleId="Intestazione">
    <w:name w:val="header"/>
    <w:basedOn w:val="Normale"/>
    <w:link w:val="IntestazioneCarattere"/>
    <w:uiPriority w:val="99"/>
    <w:unhideWhenUsed/>
    <w:rsid w:val="00602D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2D5D"/>
  </w:style>
  <w:style w:type="paragraph" w:styleId="Pidipagina">
    <w:name w:val="footer"/>
    <w:basedOn w:val="Normale"/>
    <w:link w:val="PidipaginaCarattere"/>
    <w:uiPriority w:val="99"/>
    <w:unhideWhenUsed/>
    <w:rsid w:val="00602D5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2D5D"/>
  </w:style>
  <w:style w:type="paragraph" w:styleId="Testofumetto">
    <w:name w:val="Balloon Text"/>
    <w:basedOn w:val="Normale"/>
    <w:link w:val="TestofumettoCarattere"/>
    <w:uiPriority w:val="99"/>
    <w:semiHidden/>
    <w:unhideWhenUsed/>
    <w:rsid w:val="00202B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2BD5"/>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65403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54039"/>
    <w:rPr>
      <w:sz w:val="20"/>
      <w:szCs w:val="20"/>
    </w:rPr>
  </w:style>
  <w:style w:type="character" w:styleId="Rimandonotaapidipagina">
    <w:name w:val="footnote reference"/>
    <w:basedOn w:val="Carpredefinitoparagrafo"/>
    <w:uiPriority w:val="99"/>
    <w:semiHidden/>
    <w:unhideWhenUsed/>
    <w:rsid w:val="00654039"/>
    <w:rPr>
      <w:vertAlign w:val="superscript"/>
    </w:rPr>
  </w:style>
  <w:style w:type="character" w:customStyle="1" w:styleId="Titolo1Carattere">
    <w:name w:val="Titolo 1 Carattere"/>
    <w:basedOn w:val="Carpredefinitoparagrafo"/>
    <w:link w:val="Titolo1"/>
    <w:uiPriority w:val="9"/>
    <w:rsid w:val="00763454"/>
    <w:rPr>
      <w:rFonts w:ascii="Times New Roman" w:eastAsia="Times New Roman" w:hAnsi="Times New Roman" w:cs="Times New Roman"/>
      <w:b/>
      <w:bCs/>
      <w:kern w:val="36"/>
      <w:sz w:val="48"/>
      <w:szCs w:val="48"/>
      <w:lang w:eastAsia="it-IT"/>
    </w:rPr>
  </w:style>
  <w:style w:type="character" w:customStyle="1" w:styleId="fn">
    <w:name w:val="fn"/>
    <w:basedOn w:val="Carpredefinitoparagrafo"/>
    <w:rsid w:val="00763454"/>
  </w:style>
  <w:style w:type="character" w:customStyle="1" w:styleId="Sottotitolo1">
    <w:name w:val="Sottotitolo1"/>
    <w:basedOn w:val="Carpredefinitoparagrafo"/>
    <w:rsid w:val="007634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23F7"/>
  </w:style>
  <w:style w:type="paragraph" w:styleId="Titolo1">
    <w:name w:val="heading 1"/>
    <w:basedOn w:val="Normale"/>
    <w:link w:val="Titolo1Carattere"/>
    <w:uiPriority w:val="9"/>
    <w:qFormat/>
    <w:rsid w:val="007634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2131C"/>
    <w:pPr>
      <w:ind w:left="720"/>
      <w:contextualSpacing/>
    </w:pPr>
  </w:style>
  <w:style w:type="paragraph" w:styleId="Intestazione">
    <w:name w:val="header"/>
    <w:basedOn w:val="Normale"/>
    <w:link w:val="IntestazioneCarattere"/>
    <w:uiPriority w:val="99"/>
    <w:unhideWhenUsed/>
    <w:rsid w:val="00602D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2D5D"/>
  </w:style>
  <w:style w:type="paragraph" w:styleId="Pidipagina">
    <w:name w:val="footer"/>
    <w:basedOn w:val="Normale"/>
    <w:link w:val="PidipaginaCarattere"/>
    <w:uiPriority w:val="99"/>
    <w:unhideWhenUsed/>
    <w:rsid w:val="00602D5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2D5D"/>
  </w:style>
  <w:style w:type="paragraph" w:styleId="Testofumetto">
    <w:name w:val="Balloon Text"/>
    <w:basedOn w:val="Normale"/>
    <w:link w:val="TestofumettoCarattere"/>
    <w:uiPriority w:val="99"/>
    <w:semiHidden/>
    <w:unhideWhenUsed/>
    <w:rsid w:val="00202B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2BD5"/>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65403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54039"/>
    <w:rPr>
      <w:sz w:val="20"/>
      <w:szCs w:val="20"/>
    </w:rPr>
  </w:style>
  <w:style w:type="character" w:styleId="Rimandonotaapidipagina">
    <w:name w:val="footnote reference"/>
    <w:basedOn w:val="Carpredefinitoparagrafo"/>
    <w:uiPriority w:val="99"/>
    <w:semiHidden/>
    <w:unhideWhenUsed/>
    <w:rsid w:val="00654039"/>
    <w:rPr>
      <w:vertAlign w:val="superscript"/>
    </w:rPr>
  </w:style>
  <w:style w:type="character" w:customStyle="1" w:styleId="Titolo1Carattere">
    <w:name w:val="Titolo 1 Carattere"/>
    <w:basedOn w:val="Carpredefinitoparagrafo"/>
    <w:link w:val="Titolo1"/>
    <w:uiPriority w:val="9"/>
    <w:rsid w:val="00763454"/>
    <w:rPr>
      <w:rFonts w:ascii="Times New Roman" w:eastAsia="Times New Roman" w:hAnsi="Times New Roman" w:cs="Times New Roman"/>
      <w:b/>
      <w:bCs/>
      <w:kern w:val="36"/>
      <w:sz w:val="48"/>
      <w:szCs w:val="48"/>
      <w:lang w:eastAsia="it-IT"/>
    </w:rPr>
  </w:style>
  <w:style w:type="character" w:customStyle="1" w:styleId="fn">
    <w:name w:val="fn"/>
    <w:basedOn w:val="Carpredefinitoparagrafo"/>
    <w:rsid w:val="00763454"/>
  </w:style>
  <w:style w:type="character" w:customStyle="1" w:styleId="Sottotitolo1">
    <w:name w:val="Sottotitolo1"/>
    <w:basedOn w:val="Carpredefinitoparagrafo"/>
    <w:rsid w:val="00763454"/>
  </w:style>
</w:styles>
</file>

<file path=word/webSettings.xml><?xml version="1.0" encoding="utf-8"?>
<w:webSettings xmlns:r="http://schemas.openxmlformats.org/officeDocument/2006/relationships" xmlns:w="http://schemas.openxmlformats.org/wordprocessingml/2006/main">
  <w:divs>
    <w:div w:id="178750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022C7-EAF2-4627-9708-7941AAB2D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2366</Words>
  <Characters>13492</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Jean-Paul</dc:creator>
  <cp:lastModifiedBy>utente</cp:lastModifiedBy>
  <cp:revision>5</cp:revision>
  <cp:lastPrinted>2015-08-30T16:38:00Z</cp:lastPrinted>
  <dcterms:created xsi:type="dcterms:W3CDTF">2015-08-30T22:03:00Z</dcterms:created>
  <dcterms:modified xsi:type="dcterms:W3CDTF">2017-06-27T18:11:00Z</dcterms:modified>
</cp:coreProperties>
</file>